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pPr>
      <w:r>
        <w:t>Mboni Foundation</w:t>
        <w:br/>
        <w:t>Launch and Implementation Plan</w:t>
      </w:r>
    </w:p>
    <w:p>
      <w:r>
        <w:t>Prepared for Gina Saulo  •  1 October 2026</w:t>
      </w:r>
    </w:p>
    <w:p>
      <w:r>
        <w:t>U.S. fundraising and governance with community delivery in Tanzania</w:t>
      </w:r>
    </w:p>
    <w:p>
      <w:pPr>
        <w:pStyle w:val="Heading2"/>
      </w:pPr>
      <w:r>
        <w:t>The decision</w:t>
      </w:r>
    </w:p>
    <w:p>
      <w:r>
        <w:t>Establish a disability-inclusive nonprofit and launch a 12-month pilot in Dar es Salaam, beginning with outreach around Kariakoo. Enroll 15 people with disabilities who are experiencing homelessness or imminent housing loss. Combine safe housing support and essential care with participant-chosen pathways to learning, income and community life, including an accessible community farm for food, skills and paid agricultural work.</w:t>
      </w:r>
    </w:p>
    <w:p>
      <w:r>
        <w:t>Use a qualified Tanzanian implementing partner for the first year. Build the U.S. organization in parallel, or begin fundraising through a suitable U.S. fiscal sponsor under a signed agreement. Open enrollment only after legal, safeguarding, partner-capacity and funding conditions are met.</w:t>
      </w:r>
    </w:p>
    <w:p>
      <w:pPr>
        <w:pStyle w:val="Heading2"/>
      </w:pPr>
      <w:r>
        <w:t>The purpose</w:t>
      </w:r>
    </w:p>
    <w:p>
      <w:r>
        <w:t>Mission: To support people with disabilities experiencing homelessness and extreme poverty in Tanzania through safe housing, essential services, inclusive agriculture and opportunities for a more secure, self-directed life.</w:t>
      </w:r>
    </w:p>
    <w:p>
      <w:r>
        <w:t>Vision: Communities where people with disabilities have a safe place to belong, equal opportunities and meaningful control over their lives.</w:t>
      </w:r>
    </w:p>
    <w:p>
      <w:r>
        <w:t>Public message: Seen. Valued. Supported.</w:t>
        <w:br/>
        <w:t>Supporting message: Dignity. Opportunity. A Place to Belong.</w:t>
      </w:r>
    </w:p>
    <w:tbl>
      <w:tblPr>
        <w:tblW w:type="auto" w:w="0"/>
        <w:jc w:val="center"/>
        <w:tblLayout w:type="fixed"/>
        <w:tblLook w:firstColumn="1" w:firstRow="1" w:lastColumn="0" w:lastRow="0" w:noHBand="0" w:noVBand="1" w:val="04A0"/>
      </w:tblPr>
      <w:tblGrid>
        <w:gridCol w:w="2952"/>
        <w:gridCol w:w="6984"/>
      </w:tblGrid>
      <w:tr>
        <w:trPr>
          <w:cantSplit/>
          <w:tblHeader/>
        </w:trPr>
        <w:tc>
          <w:tcPr>
            <w:tcW w:type="dxa" w:w="2952"/>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Year one proposal</w:t>
            </w:r>
          </w:p>
        </w:tc>
        <w:tc>
          <w:tcPr>
            <w:tcW w:type="dxa" w:w="6984"/>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Planning commitment</w:t>
            </w:r>
          </w:p>
        </w:tc>
      </w:tr>
      <w:tr>
        <w:trPr>
          <w:cantSplit/>
        </w:trPr>
        <w:tc>
          <w:tcPr>
            <w:tcW w:type="dxa" w:w="295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15 people</w:t>
            </w:r>
          </w:p>
        </w:tc>
        <w:tc>
          <w:tcPr>
            <w:tcW w:type="dxa" w:w="698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Individual support plans and a named caseworker</w:t>
            </w:r>
          </w:p>
        </w:tc>
      </w:tr>
      <w:tr>
        <w:trPr>
          <w:cantSplit/>
        </w:trPr>
        <w:tc>
          <w:tcPr>
            <w:tcW w:type="dxa" w:w="295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US$75,000</w:t>
            </w:r>
          </w:p>
        </w:tc>
        <w:tc>
          <w:tcPr>
            <w:tcW w:type="dxa" w:w="698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US$69,000 operating budget plus US$6,000 continuity reserve</w:t>
            </w:r>
          </w:p>
        </w:tc>
      </w:tr>
      <w:tr>
        <w:trPr>
          <w:cantSplit/>
        </w:trPr>
        <w:tc>
          <w:tcPr>
            <w:tcW w:type="dxa" w:w="295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One initial location</w:t>
            </w:r>
          </w:p>
        </w:tc>
        <w:tc>
          <w:tcPr>
            <w:tcW w:type="dxa" w:w="698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Dar es Salaam, mainland Tanzania</w:t>
            </w:r>
          </w:p>
        </w:tc>
      </w:tr>
      <w:tr>
        <w:trPr>
          <w:cantSplit/>
        </w:trPr>
        <w:tc>
          <w:tcPr>
            <w:tcW w:type="dxa" w:w="295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12 months</w:t>
            </w:r>
          </w:p>
        </w:tc>
        <w:tc>
          <w:tcPr>
            <w:tcW w:type="dxa" w:w="698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Set up, deliver, evaluate and decide whether to expand</w:t>
            </w:r>
          </w:p>
        </w:tc>
      </w:tr>
    </w:tbl>
    <w:p>
      <w:r>
        <w:t>Planning basis: The organization name and founder are drawn from the supplied concept. Name availability, legal status, partners, costs and funding must be confirmed. All budgets and targets in this plan are proposed planning assumptions, not existing commitments or achieved results.</w:t>
      </w:r>
    </w:p>
    <w:p>
      <w:pPr>
        <w:pStyle w:val="Heading1"/>
        <w:pageBreakBefore/>
      </w:pPr>
      <w:r>
        <w:t>1  Identity and strategic focus</w:t>
      </w:r>
    </w:p>
    <w:p>
      <w:pPr>
        <w:pStyle w:val="Heading2"/>
      </w:pPr>
      <w:r>
        <w:t>The Place I Call Home</w:t>
      </w:r>
    </w:p>
    <w:p>
      <w:r>
        <w:t>The founding story begins with Gina Saulo’s recollections of passing through Kariakoo as a student and seeing people with disabilities asking for support. One encounter with a wheelchair user selling small goods prompted a lasting question about access to opportunity. The foundation turns that concern into practical support shaped by the people it serves.</w:t>
      </w:r>
    </w:p>
    <w:p>
      <w:r>
        <w:t>Suggested founder narrative for approval: “Growing up in Tanzania, I saw people with disabilities facing barriers to safety, education and income. In Kariakoo, I also saw determination and enterprise. Those experiences stayed with me. I want to help create a community where people can access the support and opportunities they choose, and have a safe place to call home.”</w:t>
      </w:r>
    </w:p>
    <w:p>
      <w:r>
        <w:t>Gina should confirm this wording and the underlying details before publication. The story must not imply that people who cannot work are less deserving, or that homelessness reflects a lack of effort.</w:t>
      </w:r>
    </w:p>
    <w:p>
      <w:pPr>
        <w:pStyle w:val="Heading2"/>
      </w:pPr>
      <w:r>
        <w:t>Who the pilot will serve</w:t>
      </w:r>
    </w:p>
    <w:p>
      <w:r>
        <w:t>People of all ages, with particular attention to children and families, living in the selected Dar es Salaam catchment who face disability-related barriers and are sleeping outside, staying in unsafe temporary arrangements, or facing imminent homelessness. Prioritize immediate safety, housing need and lack of accessible alternatives. Include people requiring continuing support as well as people pursuing paid work.</w:t>
      </w:r>
    </w:p>
    <w:p>
      <w:r>
        <w:t>The first 15 participants are a capacity limit, not an estimate of local need. People without identification should receive help obtaining documents and referrals; missing documents alone should not prevent emergency support where lawful. Selection must not depend on publicity consent, religion, political affiliation or employment potential.</w:t>
      </w:r>
    </w:p>
    <w:p>
      <w:pPr>
        <w:pStyle w:val="Heading2"/>
      </w:pPr>
      <w:r>
        <w:t>What happens in the first year</w:t>
      </w:r>
    </w:p>
    <w:p>
      <w:pPr>
        <w:pStyle w:val="ListBullet"/>
      </w:pPr>
      <w:r>
        <w:t>Offer outreach, case management, housing assistance, food and hygiene support, clinical referrals and appropriately assessed assistive products.</w:t>
      </w:r>
    </w:p>
    <w:p>
      <w:pPr>
        <w:pStyle w:val="ListBullet"/>
      </w:pPr>
      <w:r>
        <w:t>Offer education, agriculture or other livelihood support when a participant wants it and a credible local opportunity exists. Begin with one accessible community farm serving 6 interested participants from the 15-person cohort.</w:t>
      </w:r>
    </w:p>
    <w:p>
      <w:pPr>
        <w:pStyle w:val="ListBullet"/>
      </w:pPr>
      <w:r>
        <w:t>Provide child and family support through qualified partners after child-safeguarding readiness is verified. Do not separate children from families for program convenience.</w:t>
      </w:r>
    </w:p>
    <w:p>
      <w:pPr>
        <w:pStyle w:val="ListBullet"/>
      </w:pPr>
      <w:r>
        <w:t>Defer a purpose-built residential center, in-house clinic, vehicle purchases and expansion across Africa until the pilot demonstrates demand, safety and sustainable funding.</w:t>
      </w:r>
    </w:p>
    <w:p>
      <w:pPr>
        <w:pStyle w:val="Heading2"/>
      </w:pPr>
      <w:r>
        <w:t>How change is expected to happen</w:t>
      </w:r>
    </w:p>
    <w:p>
      <w:r>
        <w:t>Accessible housing and essential support reduce immediate instability. Consistent casework and participant choice make it easier to access healthcare, relationships and learning. Where feasible, skills and employer support improve income security. Progress depends on accessible housing supply, reliable partners and local opportunities; the pilot will test these assumptions.</w:t>
      </w:r>
    </w:p>
    <w:p>
      <w:pPr>
        <w:pStyle w:val="Heading1"/>
        <w:pageBreakBefore/>
      </w:pPr>
      <w:r>
        <w:t>Child and Family Support Readiness</w:t>
      </w:r>
    </w:p>
    <w:p>
      <w:r>
        <w:t>Mboni Foundation serves all ages, with particular attention to children. The 15-person pilot and US$75,000 target are retained as provisional capacity and funding limits. Confirm the age mix through local assessment. Up to 6 farm places, 9 skills places and 4 enterprise packages are adult-only ceilings, not guaranteed quotas. Reduce or reallocate them transparently if the cohort contains fewer eligible adults. Do not add children as unbudgeted participants.</w:t>
      </w:r>
    </w:p>
    <w:p>
      <w:pPr>
        <w:pStyle w:val="Heading2"/>
      </w:pPr>
      <w:r>
        <w:t>Before child enrollment</w:t>
      </w:r>
    </w:p>
    <w:p>
      <w:r>
        <w:t>The board must approve an age-specific service plan and revalidated budget before enrollment. Obtain written advice from qualified Tanzanian child-protection and social-welfare partners about consent, reporting, staff suitability, transport, education referrals and lawful care arrangements. Confirm funded specialist support and safeguarding cover. If these cannot fit the current budget, reduce intake or secure additional funding before committing care.</w:t>
      </w:r>
    </w:p>
    <w:p>
      <w:pPr>
        <w:pStyle w:val="Heading2"/>
      </w:pPr>
      <w:r>
        <w:t>Care with families</w:t>
      </w:r>
    </w:p>
    <w:p>
      <w:r>
        <w:t>Prefer safe family-based support and caregiver involvement. Assess the child individually, obtain caregiver consent where lawful and age-appropriate assent, and provide accessible communication. Refer children without safe caregivers to authorized protection services; do not create informal placements. Never separate a family for program convenience or make support conditional on publicity.</w:t>
      </w:r>
    </w:p>
    <w:p>
      <w:pPr>
        <w:pStyle w:val="Heading2"/>
      </w:pPr>
      <w:r>
        <w:t>Safe people and safe activities</w:t>
      </w:r>
    </w:p>
    <w:p>
      <w:r>
        <w:t>Appoint a trained child-safeguarding lead and deputy. Check staff and volunteers, enforce supervised contact and reporting routes, and document transport handovers. Children may access education, healthcare, assistive support and safe learning activities. Productive or paid farm work, enterprise grants and employment pathways are for adults. Children must not handle agricultural chemicals or machinery.</w:t>
      </w:r>
    </w:p>
    <w:p>
      <w:pPr>
        <w:pStyle w:val="Heading2"/>
      </w:pPr>
      <w:r>
        <w:t>Accountability and budget</w:t>
      </w:r>
    </w:p>
    <w:p>
      <w:r>
        <w:t>Record child and adult participation separately without publishing identities. Count each enrolled person once; caregiver contact is not an additional beneficiary unless separately enrolled. Assess household housing assistance without double-counting. The existing education, healthcare, transport and safeguarding lines are provisional, not proof that expanded services are funded. Approve costed child support and referral agreements before intake; review continuity reserves and staffing capacity with the final age mix.</w:t>
      </w:r>
    </w:p>
    <w:p>
      <w:pPr>
        <w:pStyle w:val="Heading1"/>
        <w:pageBreakBefore/>
      </w:pPr>
      <w:r>
        <w:t>2  Legal structure and launch requirements</w:t>
      </w:r>
    </w:p>
    <w:p>
      <w:pPr>
        <w:pStyle w:val="Heading2"/>
      </w:pPr>
      <w:r>
        <w:t>U.S. organization and fundraising route</w:t>
      </w:r>
    </w:p>
    <w:p>
      <w:r>
        <w:t>Founder and U.S. nonprofit counsel should select the incorporation state based on actual operations, recruit the board, clear the name, adopt compliant articles and bylaws, obtain an EIN, and open an organizational bank account. State incorporation and federal tax exemption are separate steps. Apply for recognition under section 501(c)(3), using Form 1023 or Form 1023-EZ only if the eligibility worksheet supports it. Seek the appropriate public-charity classification; “Foundation” in the name does not determine tax classification. [1]</w:t>
      </w:r>
    </w:p>
    <w:p>
      <w:r>
        <w:t>If an established fiscal sponsor accepts the project, sign an agreement covering charitable control, fees, donations, foreign grants, insurance, staffing, restricted gifts, reporting and exit. The sponsor must control funds within its charitable purpose. Do not describe the project itself as IRS recognized while its application is pending. Confirm donation wording and deductibility with the responsible legal entity.</w:t>
      </w:r>
    </w:p>
    <w:p>
      <w:r>
        <w:t>Before soliciting donations, counsel must map applicable state registrations, exemptions and disclosures, including online fundraising. Treasurer maintains a calendar for the applicable Form 990-series filing, state renewals and donor acknowledgments. The exact filing depends on status and finances. [2, 3]</w:t>
      </w:r>
    </w:p>
    <w:p>
      <w:pPr>
        <w:pStyle w:val="Heading2"/>
      </w:pPr>
      <w:r>
        <w:t>Tanzania operating permissions</w:t>
      </w:r>
    </w:p>
    <w:p>
      <w:r>
        <w:t>Tanzanian counsel and the proposed partner must confirm the lawful arrangement for funding, outreach, employment and service delivery in mainland Tanzania. Verify the partner’s registration and permitted scope. Obtain written advice on whether the U.S. organization’s activities require its own NGO registration even when a local partner delivers services. The ministry publishes local and international NGO registration routes through its NGO information system. Zanzibar would require a separate jurisdictional review. [4]</w:t>
      </w:r>
    </w:p>
    <w:p>
      <w:r>
        <w:t>Before delivery, confirm applicable tax, payroll, work-permit, local authority, housing, fire, accessibility and professional licensing requirements. Do not treat NGO registration as permission to operate a clinic or residential facility. Obtain written insurance advice on employer, public liability, safeguarding, professional and board risks.</w:t>
      </w:r>
    </w:p>
    <w:p>
      <w:pPr>
        <w:pStyle w:val="Heading2"/>
      </w:pPr>
      <w:r>
        <w:t>Foreign funds and personal information</w:t>
      </w:r>
    </w:p>
    <w:p>
      <w:r>
        <w:t>Use written grants, approved budgets, staged transfers and reporting that preserve charitable control and responsibility for foreign funds. Screen relevant partners, suppliers and payment recipients using a documented sanctions process; investigate possible matches before payment. [5, 6]</w:t>
      </w:r>
    </w:p>
    <w:p>
      <w:r>
        <w:t>Before intake, assign data responsibilities and confirm PDPC registration requirements. Tanzania’s regulator requires registration for personal-data collection or processing and addresses permits for transfers abroad. Obtain advice before U.S. cloud storage or cross-border access to identifiable records; default to aggregate reports to U.S. donors. [7]</w:t>
      </w:r>
    </w:p>
    <w:p>
      <w:pPr>
        <w:pStyle w:val="Heading1"/>
        <w:pageBreakBefore/>
      </w:pPr>
      <w:r>
        <w:t>3  Governance and local accountability</w:t>
      </w:r>
    </w:p>
    <w:p>
      <w:r>
        <w:t>Create a proposed five-person voting board, with an independent majority and skills in finance, disability inclusion, Tanzania operations, safeguarding and fundraising. Seek at least two directors with lived experience of disability. The founder may lead development or operations, while an independent chair oversees the board. Confirm composition and terms against the selected jurisdiction and bylaws.</w:t>
      </w:r>
    </w:p>
    <w:tbl>
      <w:tblPr>
        <w:tblW w:type="auto" w:w="0"/>
        <w:jc w:val="center"/>
        <w:tblLayout w:type="fixed"/>
        <w:tblLook w:firstColumn="1" w:firstRow="1" w:lastColumn="0" w:lastRow="0" w:noHBand="0" w:noVBand="1" w:val="04A0"/>
      </w:tblPr>
      <w:tblGrid>
        <w:gridCol w:w="2304"/>
        <w:gridCol w:w="7632"/>
      </w:tblGrid>
      <w:tr>
        <w:trPr>
          <w:cantSplit/>
          <w:tblHeader/>
        </w:trPr>
        <w:tc>
          <w:tcPr>
            <w:tcW w:type="dxa" w:w="2304"/>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Role</w:t>
            </w:r>
          </w:p>
        </w:tc>
        <w:tc>
          <w:tcPr>
            <w:tcW w:type="dxa" w:w="7632"/>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Accountability</w:t>
            </w:r>
          </w:p>
        </w:tc>
      </w:tr>
      <w:tr>
        <w:trPr>
          <w:cantSplit/>
        </w:trPr>
        <w:tc>
          <w:tcPr>
            <w:tcW w:type="dxa" w:w="230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Board</w:t>
            </w:r>
          </w:p>
        </w:tc>
        <w:tc>
          <w:tcPr>
            <w:tcW w:type="dxa" w:w="763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Approves strategy, budget, policies, major grants and expansion; reviews risks and founder performance.</w:t>
            </w:r>
          </w:p>
        </w:tc>
      </w:tr>
      <w:tr>
        <w:trPr>
          <w:cantSplit/>
        </w:trPr>
        <w:tc>
          <w:tcPr>
            <w:tcW w:type="dxa" w:w="230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Independent chair</w:t>
            </w:r>
          </w:p>
        </w:tc>
        <w:tc>
          <w:tcPr>
            <w:tcW w:type="dxa" w:w="763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Leads meetings and handles complaints involving the founder or executive leadership.</w:t>
            </w:r>
          </w:p>
        </w:tc>
      </w:tr>
      <w:tr>
        <w:trPr>
          <w:cantSplit/>
        </w:trPr>
        <w:tc>
          <w:tcPr>
            <w:tcW w:type="dxa" w:w="230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Treasurer</w:t>
            </w:r>
          </w:p>
        </w:tc>
        <w:tc>
          <w:tcPr>
            <w:tcW w:type="dxa" w:w="763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Reviews cash flow, restricted funds, reconciliations, grants and filing calendar.</w:t>
            </w:r>
          </w:p>
        </w:tc>
      </w:tr>
      <w:tr>
        <w:trPr>
          <w:cantSplit/>
        </w:trPr>
        <w:tc>
          <w:tcPr>
            <w:tcW w:type="dxa" w:w="230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Founder or executive lead</w:t>
            </w:r>
          </w:p>
        </w:tc>
        <w:tc>
          <w:tcPr>
            <w:tcW w:type="dxa" w:w="763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Owns fundraising, partnerships and delivery against the board-approved plan.</w:t>
            </w:r>
          </w:p>
        </w:tc>
      </w:tr>
      <w:tr>
        <w:trPr>
          <w:cantSplit/>
        </w:trPr>
        <w:tc>
          <w:tcPr>
            <w:tcW w:type="dxa" w:w="230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Tanzania program lead</w:t>
            </w:r>
          </w:p>
        </w:tc>
        <w:tc>
          <w:tcPr>
            <w:tcW w:type="dxa" w:w="763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Owns enrollment, partner quality, case supervision and monthly reporting.</w:t>
            </w:r>
          </w:p>
        </w:tc>
      </w:tr>
      <w:tr>
        <w:trPr>
          <w:cantSplit/>
        </w:trPr>
        <w:tc>
          <w:tcPr>
            <w:tcW w:type="dxa" w:w="230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Safeguarding lead</w:t>
            </w:r>
          </w:p>
        </w:tc>
        <w:tc>
          <w:tcPr>
            <w:tcW w:type="dxa" w:w="763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Receives concerns, arranges protection and escalates independently to the board.</w:t>
            </w:r>
          </w:p>
        </w:tc>
      </w:tr>
      <w:tr>
        <w:trPr>
          <w:cantSplit/>
        </w:trPr>
        <w:tc>
          <w:tcPr>
            <w:tcW w:type="dxa" w:w="230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Participant advisory group</w:t>
            </w:r>
          </w:p>
        </w:tc>
        <w:tc>
          <w:tcPr>
            <w:tcW w:type="dxa" w:w="763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Four to six paid advisers review accessibility, feedback and program decisions.</w:t>
            </w:r>
          </w:p>
        </w:tc>
      </w:tr>
    </w:tbl>
    <w:p>
      <w:r>
        <w:t>Meet monthly for the first six months and at least quarterly thereafter. Approve quorum, term limits and voting rules in the bylaws. Record decisions, conflicts, recusals and delegated spending authority. A founder’s compensation or related-party transaction requires independent review, comparable evidence and documented approval without the conflicted person voting.</w:t>
      </w:r>
    </w:p>
    <w:p>
      <w:pPr>
        <w:pStyle w:val="Heading2"/>
      </w:pPr>
      <w:r>
        <w:t>Policies to adopt before enrollment</w:t>
      </w:r>
    </w:p>
    <w:p>
      <w:r>
        <w:t>Approve safeguarding and prevention of sexual exploitation and abuse; code of conduct; conflicts of interest; whistleblowing and complaints; finance and procurement; grant monitoring; data protection and retention; participant selection and appeal; housing and referral standards; consent and storytelling; incident response; and equal-opportunity employment. Train staff and retain signed acknowledgments.</w:t>
      </w:r>
    </w:p>
    <w:p>
      <w:pPr>
        <w:pStyle w:val="Heading2"/>
      </w:pPr>
      <w:r>
        <w:t>How participants influence decisions</w:t>
      </w:r>
    </w:p>
    <w:p>
      <w:r>
        <w:t>Hold a monthly accessible feedback session facilitated by someone other than the participant’s caseworker. Pay advisers for their time and transport within the inclusion budget. Provide Kiswahili, plain-language and communication support as needed. Publish a quarterly “You said, we did” update without identifying participants. Record why a recommendation was accepted, changed or declined.</w:t>
      </w:r>
    </w:p>
    <w:p>
      <w:pPr>
        <w:pStyle w:val="Heading1"/>
        <w:pageBreakBefore/>
      </w:pPr>
      <w:r>
        <w:t>4  Service model and program commitments</w:t>
      </w:r>
    </w:p>
    <w:p>
      <w:pPr>
        <w:pStyle w:val="Heading2"/>
      </w:pPr>
      <w:r>
        <w:t>Safe housing and essential support</w:t>
      </w:r>
    </w:p>
    <w:p>
      <w:r>
        <w:t>Support up to 10 participants with individually assessed rent, deposits or temporary accommodation averaging four months. Assess accessibility, water, sanitation, privacy, security, transport and tenancy terms before placement. Arrange support beyond this average when necessary through a funded case plan. Do not evict someone automatically because the budgeted period ends. Provide food and hygiene assistance for all 15 participants for an average of four months, adapted to individual needs.</w:t>
      </w:r>
    </w:p>
    <w:p>
      <w:pPr>
        <w:pStyle w:val="Heading2"/>
      </w:pPr>
      <w:r>
        <w:t>Healthcare and assistive support</w:t>
      </w:r>
    </w:p>
    <w:p>
      <w:r>
        <w:t>Contract licensed providers for assessment and agreed referrals. Fund appointments, appropriate rehabilitation and essential access costs within approved limits. Clinicians determine treatment; program staff do not diagnose or prescribe. Assistive products require assessment, fitting, user training, maintenance arrangements and follow-up. Prioritize locally serviceable products. Donations of unsuitable equipment should be declined.</w:t>
      </w:r>
    </w:p>
    <w:p>
      <w:pPr>
        <w:pStyle w:val="Heading2"/>
      </w:pPr>
      <w:r>
        <w:t>Learning and livelihoods</w:t>
      </w:r>
    </w:p>
    <w:p>
      <w:r>
        <w:t>Offer voluntary readiness and interest assessment to all 15 participants. Provisional adult-only ceilings are 9 skills places, including up to 6 in agriculture, and 4 grants or tool packages; adjust to the final age mix. Farm instruction is funded through the farm budget; use the general training line for distinct courses or remaining participants, with no duplicate charges. Validate demand, access, costs and likely earnings before funding a course or enterprise. Potential pathways include agriculture, nursery production, produce marketing, retail, repair, digital or service work, subject to participant interests and market assessment. The farm provides a structured agricultural pathway with its own budget.</w:t>
      </w:r>
    </w:p>
    <w:p>
      <w:r>
        <w:t>Use grants rather than debt in the pilot. Award up to US$600 equivalent per approved plan, normally in two stages linked to agreed purchases and a coaching review. Do not condition food or housing on business success. Employer agreements must cover accessibility, fair pay, safe conditions and complaint routes; verify placements at 30 and 90 days.</w:t>
      </w:r>
    </w:p>
    <w:p>
      <w:pPr>
        <w:pStyle w:val="Heading2"/>
      </w:pPr>
      <w:r>
        <w:t>Community and continuing support</w:t>
      </w:r>
    </w:p>
    <w:p>
      <w:r>
        <w:t>Reconnect with family only when the participant wants this and a safety assessment supports it. Family reunification is one option alongside independent tenancy, supported community living and continuing assistance. Help with identification and access to eligible public or community services. People who cannot pursue employment receive an equally valid plan for safety, participation and sustained support.</w:t>
      </w:r>
    </w:p>
    <w:p>
      <w:pPr>
        <w:pStyle w:val="Heading2"/>
      </w:pPr>
      <w:r>
        <w:t>Program limits and continuity</w:t>
      </w:r>
    </w:p>
    <w:p>
      <w:r>
        <w:t>Do not run an unlicensed clinic, institutionalize participants, require unpaid labor or promise lifetime housing. High-cost medical or personal-care needs trigger an individual assessment, specialist referral and additional funding decision. Budget limits must lead to transparent referrals and capacity planning, never abandonment. Establish emergency referral arrangements before outreach begins.</w:t>
      </w:r>
    </w:p>
    <w:p>
      <w:pPr>
        <w:pStyle w:val="Heading1"/>
        <w:pageBreakBefore/>
      </w:pPr>
      <w:r>
        <w:t>4A  Inclusive agriculture and community farms</w:t>
      </w:r>
    </w:p>
    <w:p>
      <w:r>
        <w:t>Create the Mboni Community Farm as a voluntary pathway to fresh food, practical skills, paid work and community connection. Start with one demonstration site close to participants in Dar es Salaam or its accessible outskirts. The farm supplements housing, care and food assistance; nobody must work to receive support.</w:t>
      </w:r>
    </w:p>
    <w:p>
      <w:pPr>
        <w:pStyle w:val="Heading2"/>
      </w:pPr>
      <w:r>
        <w:t>A manageable first site</w:t>
      </w:r>
    </w:p>
    <w:p>
      <w:r>
        <w:t>Plan for approximately 200 to 400 square metres within an existing partner farm with usable water, sanitation and access, subject to access, soil, water and cost checks. Enroll up to 6 interested adults from the existing 15-person cohort in small groups. These are not 6 additional beneficiaries. Engage nearby growers and residents through supervised learning days, without diverting resources from the target group.</w:t>
      </w:r>
    </w:p>
    <w:p>
      <w:r>
        <w:t>Begin with raised or container beds, a small seedling nursery and locally appropriate vegetables or herbs. An extension officer should select crops after checking soil, water, season, household preferences and demand from at least three potential buyers. Leafy vegetables, okra or herbs are possibilities, not a final crop prescription. Defer livestock, pesticides requiring specialist handling, processing and large-scale machinery until separately assessed and funded.</w:t>
      </w:r>
    </w:p>
    <w:p>
      <w:pPr>
        <w:pStyle w:val="Heading2"/>
      </w:pPr>
      <w:r>
        <w:t>Roles that suit different people</w:t>
      </w:r>
    </w:p>
    <w:p>
      <w:r>
        <w:t>Offer accessible roles in seed sowing, nursery care, light watering, harvesting, grading, packing, record keeping, order taking and sales. Use participant-designed raised beds and seated workstations, stable paths, adapted tools, shade, rest areas, handwashing and an accessible toilet. Test the layout with mobility and sensory access needs before opening. Provide transport and communication support; avoid assuming that a particular impairment determines a person’s role.</w:t>
      </w:r>
    </w:p>
    <w:p>
      <w:pPr>
        <w:pStyle w:val="Heading2"/>
      </w:pPr>
      <w:r>
        <w:t>Food and fair work</w:t>
      </w:r>
    </w:p>
    <w:p>
      <w:r>
        <w:t>Agree a written allocation rule with participants before planting. As an initial planning rule, allocate 50% of marketable harvest by weight to participating households and the support program, with up to 50% for sale. Adjust to actual food needs, crop mix, safety and demand through a recorded committee decision. Food shares must not depend on attendance or output, and unsafe produce must never be distributed or sold.</w:t>
      </w:r>
    </w:p>
    <w:p>
      <w:r>
        <w:t>Separate voluntary learning from productive paid work. Record paid roles, hours, rates and payment dates under lawful local arrangements reviewed by counsel. The US$1,200 wage pool supports a limited number of paid shifts, not jobs for all 6 participants. Set lawful rates first, then the affordable hours; reduce commercial workload if the pool is insufficient. Never require unpaid production or deductions from essential support.</w:t>
      </w:r>
    </w:p>
    <w:p>
      <w:pPr>
        <w:pStyle w:val="Heading2"/>
      </w:pPr>
      <w:r>
        <w:t>Ownership and community voice</w:t>
      </w:r>
    </w:p>
    <w:p>
      <w:r>
        <w:t>The registered implementing partner manages the site under a board-approved agreement. A farm committee includes participant representatives, the supervisor and the partner lead. Participants influence schedules, access adjustments and food allocation. Keep tools and infrastructure in an asset register; document rights to crops and removable assets if the site closes.</w:t>
      </w:r>
    </w:p>
    <w:p>
      <w:pPr>
        <w:pStyle w:val="Heading1"/>
        <w:pageBreakBefore/>
      </w:pPr>
      <w:r>
        <w:t>4B  Farm operation and launch conditions</w:t>
      </w:r>
    </w:p>
    <w:p>
      <w:pPr>
        <w:pStyle w:val="Heading2"/>
      </w:pPr>
      <w:r>
        <w:t>Before committing to land</w:t>
      </w:r>
    </w:p>
    <w:p>
      <w:r>
        <w:t>Verify the landholder’s authority and obtain a written lease or use agreement covering permitted cultivation and sales, water access, improvements, duration, termination notice, harvest rights and asset removal. Seek at least 24 months of secure use before permanent improvements; use portable beds if longer tenure cannot be secured. Local counsel must confirm land-use, water, environmental, labor and produce-sale requirements for the chosen site.</w:t>
      </w:r>
    </w:p>
    <w:p>
      <w:r>
        <w:t>Approve the site only after checking flood exposure, prior industrial or dumping uses, soil and water safety, reliable dry-season supply, accessible transport and sanitation. Use qualified local testing and extension advice. Exclude untreated wastewater from this pilot and establish safe irrigation, handwashing, harvest and storage practices. FAO identifies contaminated irrigation water as a risk to growers and consumers. [8]</w:t>
      </w:r>
    </w:p>
    <w:p>
      <w:pPr>
        <w:pStyle w:val="Heading2"/>
      </w:pPr>
      <w:r>
        <w:t>A repeatable production routine</w:t>
      </w:r>
    </w:p>
    <w:p>
      <w:r>
        <w:t>The agriculture supervisor prepares a crop calendar, bed map, planting quantities, expected harvest windows and weekly work schedule with participants. Stagger sowing, inspect pests and irrigation weekly, use suitable mulch and approved compost, and keep inputs locked and labeled. Prioritize prevention and locally advised integrated pest management. Only trained authorized personnel may use regulated products under local rules.</w:t>
      </w:r>
    </w:p>
    <w:p>
      <w:r>
        <w:t>Log planting dates, inputs, labor, water, harvest weights, spoilage, food distribution and sales. Arrange harvest-day buyers and shaded storage; use clean crates and prompt delivery where cooling is unavailable. Set weather and heat stop-work rules, first-aid provision and a clear incident route. The host agreement must allocate essential irrigation and absence cover within the site and supervision fees; participants are not on unpaid call.</w:t>
      </w:r>
    </w:p>
    <w:p>
      <w:pPr>
        <w:pStyle w:val="Heading2"/>
      </w:pPr>
      <w:r>
        <w:t>Financial rules for produce sales</w:t>
      </w:r>
    </w:p>
    <w:p>
      <w:r>
        <w:t>Obtain indicative prices and demand from at least three local buyers before planting for sale. Build a conservative crop budget from locally verified yield, losses, saleable share, prices and operating costs. Include water, labor, transport and packaging. Do not assume profitability or reduce the food-assistance budget on the expectation of harvests.</w:t>
      </w:r>
    </w:p>
    <w:p>
      <w:r>
        <w:t>Record all sales and issue receipts; deposit proceeds into the partner’s designated organizational account and reconcile weekly. Keep sales, donated produce, wages and grants separately identifiable. Apply proceeds to approved farm operating costs and maintenance. Any surplus allocation or participant bonus requires a lawful, transparent board-approved policy after obligations are met. Do not promise profit shares in advance.</w:t>
      </w:r>
    </w:p>
    <w:p>
      <w:pPr>
        <w:pStyle w:val="Heading2"/>
      </w:pPr>
      <w:r>
        <w:t>Stop and review conditions</w:t>
      </w:r>
    </w:p>
    <w:p>
      <w:r>
        <w:t>Release farm spending only after site approval, trained supervision, a funded US$9,000 plan and available contingency. If safe land or water cannot be secured, delay the site and offer accessible training with an approved existing grower. Suspend unsafe tasks or contaminated harvests immediately. After crop failure, review causes and fund replanting only within approved limits; protect essential household food support.</w:t>
      </w:r>
    </w:p>
    <w:p>
      <w:pPr>
        <w:pStyle w:val="Heading1"/>
        <w:pageBreakBefore/>
      </w:pPr>
      <w:r>
        <w:t>4C  Farm budget and measures of success</w:t>
      </w:r>
    </w:p>
    <w:p>
      <w:r>
        <w:t>The US$9,000 farm allocation is included in the US$69,000 operating total. It assumes a small plot on an existing partner farm, eight delivery months and shared facilities. Obtain written terms for water, sanitation, access, storage and routine crop care within the stated fees. If suitable facilities are unavailable, defer the farm rather than remove safety measures. No land purchase, borehole or sales revenue is assumed.</w:t>
      </w:r>
    </w:p>
    <w:tbl>
      <w:tblPr>
        <w:tblW w:type="auto" w:w="0"/>
        <w:jc w:val="center"/>
        <w:tblLayout w:type="fixed"/>
        <w:tblLook w:firstColumn="1" w:firstRow="1" w:lastColumn="0" w:lastRow="0" w:noHBand="0" w:noVBand="1" w:val="04A0"/>
      </w:tblPr>
      <w:tblGrid>
        <w:gridCol w:w="3240"/>
        <w:gridCol w:w="5112"/>
        <w:gridCol w:w="1584"/>
      </w:tblGrid>
      <w:tr>
        <w:trPr>
          <w:cantSplit/>
          <w:tblHeader/>
        </w:trPr>
        <w:tc>
          <w:tcPr>
            <w:tcW w:type="dxa" w:w="3240"/>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Farm cost</w:t>
            </w:r>
          </w:p>
        </w:tc>
        <w:tc>
          <w:tcPr>
            <w:tcW w:type="dxa" w:w="5112"/>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Planning basis</w:t>
            </w:r>
          </w:p>
        </w:tc>
        <w:tc>
          <w:tcPr>
            <w:tcW w:type="dxa" w:w="1584"/>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USD</w:t>
            </w:r>
          </w:p>
        </w:tc>
      </w:tr>
      <w:tr>
        <w:trPr>
          <w:cantSplit/>
        </w:trPr>
        <w:tc>
          <w:tcPr>
            <w:tcW w:type="dxa" w:w="324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Partner site access</w:t>
            </w:r>
          </w:p>
        </w:tc>
        <w:tc>
          <w:tcPr>
            <w:tcW w:type="dxa" w:w="511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8 months × $75 for shared facilities</w:t>
            </w:r>
          </w:p>
        </w:tc>
        <w:tc>
          <w:tcPr>
            <w:tcW w:type="dxa" w:w="158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600</w:t>
            </w:r>
          </w:p>
        </w:tc>
      </w:tr>
      <w:tr>
        <w:trPr>
          <w:cantSplit/>
        </w:trPr>
        <w:tc>
          <w:tcPr>
            <w:tcW w:type="dxa" w:w="324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Accessibility adaptations</w:t>
            </w:r>
          </w:p>
        </w:tc>
        <w:tc>
          <w:tcPr>
            <w:tcW w:type="dxa" w:w="511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Portable beds, tools and minor path improvements</w:t>
            </w:r>
          </w:p>
        </w:tc>
        <w:tc>
          <w:tcPr>
            <w:tcW w:type="dxa" w:w="158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1,500</w:t>
            </w:r>
          </w:p>
        </w:tc>
      </w:tr>
      <w:tr>
        <w:trPr>
          <w:cantSplit/>
        </w:trPr>
        <w:tc>
          <w:tcPr>
            <w:tcW w:type="dxa" w:w="324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Water and irrigation</w:t>
            </w:r>
          </w:p>
        </w:tc>
        <w:tc>
          <w:tcPr>
            <w:tcW w:type="dxa" w:w="511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Existing lawful supply; use fees and simple kit</w:t>
            </w:r>
          </w:p>
        </w:tc>
        <w:tc>
          <w:tcPr>
            <w:tcW w:type="dxa" w:w="158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1,200</w:t>
            </w:r>
          </w:p>
        </w:tc>
      </w:tr>
      <w:tr>
        <w:trPr>
          <w:cantSplit/>
        </w:trPr>
        <w:tc>
          <w:tcPr>
            <w:tcW w:type="dxa" w:w="324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Seeds and soil inputs</w:t>
            </w:r>
          </w:p>
        </w:tc>
        <w:tc>
          <w:tcPr>
            <w:tcW w:type="dxa" w:w="511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Small plot and nursery supplies</w:t>
            </w:r>
          </w:p>
        </w:tc>
        <w:tc>
          <w:tcPr>
            <w:tcW w:type="dxa" w:w="158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900</w:t>
            </w:r>
          </w:p>
        </w:tc>
      </w:tr>
      <w:tr>
        <w:trPr>
          <w:cantSplit/>
        </w:trPr>
        <w:tc>
          <w:tcPr>
            <w:tcW w:type="dxa" w:w="324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Agriculture supervisor</w:t>
            </w:r>
          </w:p>
        </w:tc>
        <w:tc>
          <w:tcPr>
            <w:tcW w:type="dxa" w:w="511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8 months × $250 for limited contracted hours</w:t>
            </w:r>
          </w:p>
        </w:tc>
        <w:tc>
          <w:tcPr>
            <w:tcW w:type="dxa" w:w="158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2,000</w:t>
            </w:r>
          </w:p>
        </w:tc>
      </w:tr>
      <w:tr>
        <w:trPr>
          <w:cantSplit/>
        </w:trPr>
        <w:tc>
          <w:tcPr>
            <w:tcW w:type="dxa" w:w="324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Paid participant work</w:t>
            </w:r>
          </w:p>
        </w:tc>
        <w:tc>
          <w:tcPr>
            <w:tcW w:type="dxa" w:w="511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Limited shifts at locally compliant rates</w:t>
            </w:r>
          </w:p>
        </w:tc>
        <w:tc>
          <w:tcPr>
            <w:tcW w:type="dxa" w:w="158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1,200</w:t>
            </w:r>
          </w:p>
        </w:tc>
      </w:tr>
      <w:tr>
        <w:trPr>
          <w:cantSplit/>
        </w:trPr>
        <w:tc>
          <w:tcPr>
            <w:tcW w:type="dxa" w:w="324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Farm transport</w:t>
            </w:r>
          </w:p>
        </w:tc>
        <w:tc>
          <w:tcPr>
            <w:tcW w:type="dxa" w:w="511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Shared accessible journeys</w:t>
            </w:r>
          </w:p>
        </w:tc>
        <w:tc>
          <w:tcPr>
            <w:tcW w:type="dxa" w:w="158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600</w:t>
            </w:r>
          </w:p>
        </w:tc>
      </w:tr>
      <w:tr>
        <w:trPr>
          <w:cantSplit/>
        </w:trPr>
        <w:tc>
          <w:tcPr>
            <w:tcW w:type="dxa" w:w="324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Testing and safety</w:t>
            </w:r>
          </w:p>
        </w:tc>
        <w:tc>
          <w:tcPr>
            <w:tcW w:type="dxa" w:w="511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Retained testing and protection provision</w:t>
            </w:r>
          </w:p>
        </w:tc>
        <w:tc>
          <w:tcPr>
            <w:tcW w:type="dxa" w:w="158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700</w:t>
            </w:r>
          </w:p>
        </w:tc>
      </w:tr>
      <w:tr>
        <w:trPr>
          <w:cantSplit/>
        </w:trPr>
        <w:tc>
          <w:tcPr>
            <w:tcW w:type="dxa" w:w="324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Packing and market trials</w:t>
            </w:r>
          </w:p>
        </w:tc>
        <w:tc>
          <w:tcPr>
            <w:tcW w:type="dxa" w:w="511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Small-volume local sales</w:t>
            </w:r>
          </w:p>
        </w:tc>
        <w:tc>
          <w:tcPr>
            <w:tcW w:type="dxa" w:w="158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150</w:t>
            </w:r>
          </w:p>
        </w:tc>
      </w:tr>
      <w:tr>
        <w:trPr>
          <w:cantSplit/>
        </w:trPr>
        <w:tc>
          <w:tcPr>
            <w:tcW w:type="dxa" w:w="324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Repairs and maintenance</w:t>
            </w:r>
          </w:p>
        </w:tc>
        <w:tc>
          <w:tcPr>
            <w:tcW w:type="dxa" w:w="511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Portable equipment provision</w:t>
            </w:r>
          </w:p>
        </w:tc>
        <w:tc>
          <w:tcPr>
            <w:tcW w:type="dxa" w:w="158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150</w:t>
            </w:r>
          </w:p>
        </w:tc>
      </w:tr>
      <w:tr>
        <w:trPr>
          <w:cantSplit/>
        </w:trPr>
        <w:tc>
          <w:tcPr>
            <w:tcW w:type="dxa" w:w="324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Farm total</w:t>
            </w:r>
          </w:p>
        </w:tc>
        <w:tc>
          <w:tcPr>
            <w:tcW w:type="dxa" w:w="511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r>
          </w:p>
        </w:tc>
        <w:tc>
          <w:tcPr>
            <w:tcW w:type="dxa" w:w="158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9,000</w:t>
            </w:r>
          </w:p>
        </w:tc>
      </w:tr>
    </w:tbl>
    <w:p>
      <w:r>
        <w:t>The farm budget falls from US$24,000 to US$9,000 through a smaller shared site, six participants and fewer supervised paid hours. Core food support is unchanged per person. Farm sales are excluded from the funding target; avoid duplicate charges for transport, training or tools.</w:t>
      </w:r>
    </w:p>
    <w:tbl>
      <w:tblPr>
        <w:tblW w:type="auto" w:w="0"/>
        <w:jc w:val="center"/>
        <w:tblLayout w:type="fixed"/>
        <w:tblLook w:firstColumn="1" w:firstRow="1" w:lastColumn="0" w:lastRow="0" w:noHBand="0" w:noVBand="1" w:val="04A0"/>
      </w:tblPr>
      <w:tblGrid>
        <w:gridCol w:w="2592"/>
        <w:gridCol w:w="7344"/>
      </w:tblGrid>
      <w:tr>
        <w:trPr>
          <w:cantSplit/>
          <w:tblHeader/>
        </w:trPr>
        <w:tc>
          <w:tcPr>
            <w:tcW w:type="dxa" w:w="2592"/>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Measure</w:t>
            </w:r>
          </w:p>
        </w:tc>
        <w:tc>
          <w:tcPr>
            <w:tcW w:type="dxa" w:w="7344"/>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Pilot target and evidence</w:t>
            </w:r>
          </w:p>
        </w:tc>
      </w:tr>
      <w:tr>
        <w:trPr>
          <w:cantSplit/>
        </w:trPr>
        <w:tc>
          <w:tcPr>
            <w:tcW w:type="dxa" w:w="259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Access and participation</w:t>
            </w:r>
          </w:p>
        </w:tc>
        <w:tc>
          <w:tcPr>
            <w:tcW w:type="dxa" w:w="734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One approved accessible site; up to 6 consenting participants; at least 5 complete their agreed learning plan.</w:t>
            </w:r>
          </w:p>
        </w:tc>
      </w:tr>
      <w:tr>
        <w:trPr>
          <w:cantSplit/>
        </w:trPr>
        <w:tc>
          <w:tcPr>
            <w:tcW w:type="dxa" w:w="259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Food contribution</w:t>
            </w:r>
          </w:p>
        </w:tc>
        <w:tc>
          <w:tcPr>
            <w:tcW w:type="dxa" w:w="734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At least 5 participant households receive produce on 6 occasions by month 12, if safe harvests permit; record quantities and recipients.</w:t>
            </w:r>
          </w:p>
        </w:tc>
      </w:tr>
      <w:tr>
        <w:trPr>
          <w:cantSplit/>
        </w:trPr>
        <w:tc>
          <w:tcPr>
            <w:tcW w:type="dxa" w:w="259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Production and demand</w:t>
            </w:r>
          </w:p>
        </w:tc>
        <w:tc>
          <w:tcPr>
            <w:tcW w:type="dxa" w:w="734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Complete at least 2 locally suitable crop cycles; test sales with at least 2 buyers; record yields, waste, costs and proceeds.</w:t>
            </w:r>
          </w:p>
        </w:tc>
      </w:tr>
      <w:tr>
        <w:trPr>
          <w:cantSplit/>
        </w:trPr>
        <w:tc>
          <w:tcPr>
            <w:tcW w:type="dxa" w:w="259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Fair work and outcomes</w:t>
            </w:r>
          </w:p>
        </w:tc>
        <w:tc>
          <w:tcPr>
            <w:tcW w:type="dxa" w:w="734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Record 100% of productive paid hours and timely wages; separate paid training, subsidized jobs and independently sustained earnings.</w:t>
            </w:r>
          </w:p>
        </w:tc>
      </w:tr>
      <w:tr>
        <w:trPr>
          <w:cantSplit/>
        </w:trPr>
        <w:tc>
          <w:tcPr>
            <w:tcW w:type="dxa" w:w="259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Participant experience</w:t>
            </w:r>
          </w:p>
        </w:tc>
        <w:tc>
          <w:tcPr>
            <w:tcW w:type="dxa" w:w="734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Monthly accessible feedback; record chosen roles, adaptations, concerns and corrective action.</w:t>
            </w:r>
          </w:p>
        </w:tc>
      </w:tr>
    </w:tbl>
    <w:p>
      <w:r>
        <w:t>These are learning targets, not yield or income guarantees. At month 12, compare produce value and sales with all operating costs, record subsidy per participant, and obtain participant feedback. Expand community farms only if safety, access, tenure, supervision and funding are adequate; seek external employment or viable small plots for interested graduates.</w:t>
      </w:r>
    </w:p>
    <w:p>
      <w:pPr>
        <w:pStyle w:val="Heading1"/>
        <w:pageBreakBefore/>
      </w:pPr>
      <w:r>
        <w:t>5  Participant journey and safeguarding</w:t>
      </w:r>
    </w:p>
    <w:tbl>
      <w:tblPr>
        <w:tblW w:type="auto" w:w="0"/>
        <w:jc w:val="center"/>
        <w:tblLayout w:type="fixed"/>
        <w:tblLook w:firstColumn="1" w:firstRow="1" w:lastColumn="0" w:lastRow="0" w:noHBand="0" w:noVBand="1" w:val="04A0"/>
      </w:tblPr>
      <w:tblGrid>
        <w:gridCol w:w="2376"/>
        <w:gridCol w:w="7560"/>
      </w:tblGrid>
      <w:tr>
        <w:trPr>
          <w:cantSplit/>
          <w:tblHeader/>
        </w:trPr>
        <w:tc>
          <w:tcPr>
            <w:tcW w:type="dxa" w:w="2376"/>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Stage</w:t>
            </w:r>
          </w:p>
        </w:tc>
        <w:tc>
          <w:tcPr>
            <w:tcW w:type="dxa" w:w="7560"/>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Timing and minimum record</w:t>
            </w:r>
          </w:p>
        </w:tc>
      </w:tr>
      <w:tr>
        <w:trPr>
          <w:cantSplit/>
        </w:trPr>
        <w:tc>
          <w:tcPr>
            <w:tcW w:type="dxa" w:w="237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Outreach and referral</w:t>
            </w:r>
          </w:p>
        </w:tc>
        <w:tc>
          <w:tcPr>
            <w:tcW w:type="dxa" w:w="756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Same-day safety check; consent to contact; secure participant ID; urgent referral if necessary.</w:t>
            </w:r>
          </w:p>
        </w:tc>
      </w:tr>
      <w:tr>
        <w:trPr>
          <w:cantSplit/>
        </w:trPr>
        <w:tc>
          <w:tcPr>
            <w:tcW w:type="dxa" w:w="237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Assessment</w:t>
            </w:r>
          </w:p>
        </w:tc>
        <w:tc>
          <w:tcPr>
            <w:tcW w:type="dxa" w:w="756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Within 7 days: housing, functional access, health referrals, risks, goals and support preferences.</w:t>
            </w:r>
          </w:p>
        </w:tc>
      </w:tr>
      <w:tr>
        <w:trPr>
          <w:cantSplit/>
        </w:trPr>
        <w:tc>
          <w:tcPr>
            <w:tcW w:type="dxa" w:w="237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Selection and appeal</w:t>
            </w:r>
          </w:p>
        </w:tc>
        <w:tc>
          <w:tcPr>
            <w:tcW w:type="dxa" w:w="756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Two trained staff apply published criteria; record decision; offer referral or accessible appeal.</w:t>
            </w:r>
          </w:p>
        </w:tc>
      </w:tr>
      <w:tr>
        <w:trPr>
          <w:cantSplit/>
        </w:trPr>
        <w:tc>
          <w:tcPr>
            <w:tcW w:type="dxa" w:w="237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Individual support plan</w:t>
            </w:r>
          </w:p>
        </w:tc>
        <w:tc>
          <w:tcPr>
            <w:tcW w:type="dxa" w:w="756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Within 14 days of enrollment: participant goals, services, named owners, cost limits and review date.</w:t>
            </w:r>
          </w:p>
        </w:tc>
      </w:tr>
      <w:tr>
        <w:trPr>
          <w:cantSplit/>
        </w:trPr>
        <w:tc>
          <w:tcPr>
            <w:tcW w:type="dxa" w:w="237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Delivery and review</w:t>
            </w:r>
          </w:p>
        </w:tc>
        <w:tc>
          <w:tcPr>
            <w:tcW w:type="dxa" w:w="756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Weekly contact in the first month; then at least fortnightly, adjusted to risk; monthly case review.</w:t>
            </w:r>
          </w:p>
        </w:tc>
      </w:tr>
      <w:tr>
        <w:trPr>
          <w:cantSplit/>
        </w:trPr>
        <w:tc>
          <w:tcPr>
            <w:tcW w:type="dxa" w:w="237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Transition and follow-up</w:t>
            </w:r>
          </w:p>
        </w:tc>
        <w:tc>
          <w:tcPr>
            <w:tcW w:type="dxa" w:w="756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Written continuity plan agreed with participant; check safety and housing at 30 and 90 days.</w:t>
            </w:r>
          </w:p>
        </w:tc>
      </w:tr>
    </w:tbl>
    <w:p>
      <w:pPr>
        <w:pStyle w:val="Heading2"/>
      </w:pPr>
      <w:r>
        <w:t>Safeguarding rules</w:t>
      </w:r>
    </w:p>
    <w:p>
      <w:r>
        <w:t>Complete identity, reference and available lawful background checks for staff and relevant volunteers. Train them in consent, disability inclusion, boundaries, reporting and protection from exploitation. Volunteers should not undertake unsupervised casework or handle participant money. Use accessible communication and supported decision-making; disability alone does not remove a person’s right to decide.</w:t>
      </w:r>
    </w:p>
    <w:p>
      <w:r>
        <w:t>Offer confidential complaints by phone, text or voice message, in person and through an independent board contact. Publish these channels before enrollment. Service access must never depend on favors, relationships, publicity or accepting a particular faith. Ban retaliation and maintain a separate restricted incident log.</w:t>
      </w:r>
    </w:p>
    <w:p>
      <w:r>
        <w:t>For immediate danger, arrange emergency assistance and a safe referral at once. Notify the safeguarding lead within 24 hours, or the independent chair if the lead is implicated. The lead documents a protection plan within 48 hours and follows local mandatory reporting duties with qualified advice. Do not promise secrecy that conflicts with reporting obligations. These are internal response targets, not statutory deadlines.</w:t>
      </w:r>
    </w:p>
    <w:p>
      <w:pPr>
        <w:pStyle w:val="Heading2"/>
      </w:pPr>
      <w:r>
        <w:t>Consent and records</w:t>
      </w:r>
    </w:p>
    <w:p>
      <w:r>
        <w:t>Separate service consent from permission to publish a story or photograph. Explain purpose, audience and withdrawal limits in the participant’s preferred language. Declining publicity has no effect on support. Avoid identifiable locations, diagnoses and trauma details unless necessary and explicitly authorized. Never invent a beneficiary story or publish a proposed target as an achieved result.</w:t>
      </w:r>
    </w:p>
    <w:p>
      <w:r>
        <w:t>Limit access by role; use approved encrypted storage, multifactor authentication and a board-approved retention schedule. Keep contact details separate from reporting data. Document breaches and obtain local advice on required notifications. U.S. reports should contain de-identified summaries unless lawful transfer arrangements are established.</w:t>
      </w:r>
    </w:p>
    <w:p>
      <w:pPr>
        <w:pStyle w:val="Heading1"/>
        <w:pageBreakBefore/>
      </w:pPr>
      <w:r>
        <w:t>6  Staffing and partner readiness</w:t>
      </w:r>
    </w:p>
    <w:tbl>
      <w:tblPr>
        <w:tblW w:type="auto" w:w="0"/>
        <w:jc w:val="center"/>
        <w:tblLayout w:type="fixed"/>
        <w:tblLook w:firstColumn="1" w:firstRow="1" w:lastColumn="0" w:lastRow="0" w:noHBand="0" w:noVBand="1" w:val="04A0"/>
      </w:tblPr>
      <w:tblGrid>
        <w:gridCol w:w="7272"/>
        <w:gridCol w:w="2664"/>
      </w:tblGrid>
      <w:tr>
        <w:trPr>
          <w:cantSplit/>
          <w:tblHeader/>
        </w:trPr>
        <w:tc>
          <w:tcPr>
            <w:tcW w:type="dxa" w:w="7272"/>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Role and proposed allocation</w:t>
            </w:r>
          </w:p>
        </w:tc>
        <w:tc>
          <w:tcPr>
            <w:tcW w:type="dxa" w:w="2664"/>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Annual provision</w:t>
            </w:r>
          </w:p>
        </w:tc>
      </w:tr>
      <w:tr>
        <w:trPr>
          <w:cantSplit/>
        </w:trPr>
        <w:tc>
          <w:tcPr>
            <w:tcW w:type="dxa" w:w="72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Shared Tanzania program lead at 0.375 full-time equivalent</w:t>
            </w:r>
          </w:p>
        </w:tc>
        <w:tc>
          <w:tcPr>
            <w:tcW w:type="dxa" w:w="266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US$6,000 including employer costs</w:t>
            </w:r>
          </w:p>
        </w:tc>
      </w:tr>
      <w:tr>
        <w:trPr>
          <w:cantSplit/>
        </w:trPr>
        <w:tc>
          <w:tcPr>
            <w:tcW w:type="dxa" w:w="727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One caseworker at 0.75 full-time equivalent</w:t>
            </w:r>
          </w:p>
        </w:tc>
        <w:tc>
          <w:tcPr>
            <w:tcW w:type="dxa" w:w="266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US$9,000 including employer costs</w:t>
            </w:r>
          </w:p>
        </w:tc>
      </w:tr>
      <w:tr>
        <w:trPr>
          <w:cantSplit/>
        </w:trPr>
        <w:tc>
          <w:tcPr>
            <w:tcW w:type="dxa" w:w="72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Shared finance and administration at 0.125 full-time equivalent</w:t>
            </w:r>
          </w:p>
        </w:tc>
        <w:tc>
          <w:tcPr>
            <w:tcW w:type="dxa" w:w="266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US$2,400 including employer costs</w:t>
            </w:r>
          </w:p>
        </w:tc>
      </w:tr>
      <w:tr>
        <w:trPr>
          <w:cantSplit/>
        </w:trPr>
        <w:tc>
          <w:tcPr>
            <w:tcW w:type="dxa" w:w="727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Clinical and rehabilitation support</w:t>
            </w:r>
          </w:p>
        </w:tc>
        <w:tc>
          <w:tcPr>
            <w:tcW w:type="dxa" w:w="266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Purchased through the healthcare budget</w:t>
            </w:r>
          </w:p>
        </w:tc>
      </w:tr>
      <w:tr>
        <w:trPr>
          <w:cantSplit/>
        </w:trPr>
        <w:tc>
          <w:tcPr>
            <w:tcW w:type="dxa" w:w="72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Partner agriculture supervisor with agreed limited hours</w:t>
            </w:r>
          </w:p>
        </w:tc>
        <w:tc>
          <w:tcPr>
            <w:tcW w:type="dxa" w:w="266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US$2,000 for 8 months within farm budget</w:t>
            </w:r>
          </w:p>
        </w:tc>
      </w:tr>
      <w:tr>
        <w:trPr>
          <w:cantSplit/>
        </w:trPr>
        <w:tc>
          <w:tcPr>
            <w:tcW w:type="dxa" w:w="727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Founder and board</w:t>
            </w:r>
          </w:p>
        </w:tc>
        <w:tc>
          <w:tcPr>
            <w:tcW w:type="dxa" w:w="266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Volunteer in year one; approved expense reimbursement only</w:t>
            </w:r>
          </w:p>
        </w:tc>
      </w:tr>
    </w:tbl>
    <w:p>
      <w:r>
        <w:t>Validate pay against local wage, tax and employment requirements; revise the budget or intake if necessary. Limit each caseworker to 15 active participants, fewer for complex needs. Agree qualified partner leave cover and emergency escalation within the contract before opening. Staff rates remain subject to local validation; reduced hours must match the smaller caseload.</w:t>
      </w:r>
    </w:p>
    <w:p>
      <w:pPr>
        <w:pStyle w:val="Heading2"/>
      </w:pPr>
      <w:r>
        <w:t>Minimum partner network</w:t>
      </w:r>
    </w:p>
    <w:p>
      <w:r>
        <w:t>Secure an implementing NGO, disability organization, housing and licensed care providers, social welfare contacts and accessible training or employer partners. Add an agriculture supervisor, extension officer, verified landholder and produce buyers. Confirm each partner’s capacity and agreement before relying on their services.</w:t>
      </w:r>
    </w:p>
    <w:p>
      <w:pPr>
        <w:pStyle w:val="Heading2"/>
      </w:pPr>
      <w:r>
        <w:t>Partner approval checklist</w:t>
      </w:r>
    </w:p>
    <w:p>
      <w:pPr>
        <w:pStyle w:val="ListBullet"/>
      </w:pPr>
      <w:r>
        <w:t>Verify registration, leadership, physical operations, organizational bank details and two independent references.</w:t>
      </w:r>
    </w:p>
    <w:p>
      <w:pPr>
        <w:pStyle w:val="ListBullet"/>
      </w:pPr>
      <w:r>
        <w:t>Review recent accounts, controls, prior grant delivery, safeguarding practices, complaints history and capacity to support disabled children, adults and families.</w:t>
      </w:r>
    </w:p>
    <w:p>
      <w:pPr>
        <w:pStyle w:val="ListBullet"/>
      </w:pPr>
      <w:r>
        <w:t>Visit premises and test accessibility with people with disabilities; confirm actual service capacity, costs, referral criteria and emergency cover.</w:t>
      </w:r>
    </w:p>
    <w:p>
      <w:pPr>
        <w:pStyle w:val="ListBullet"/>
      </w:pPr>
      <w:r>
        <w:t>Resolve conflicts of interest and sanctions-screening concerns; document who approved the partner and any conditions.</w:t>
      </w:r>
    </w:p>
    <w:p>
      <w:pPr>
        <w:pStyle w:val="Heading2"/>
      </w:pPr>
      <w:r>
        <w:t>Required agreement terms</w:t>
      </w:r>
    </w:p>
    <w:p>
      <w:r>
        <w:t>Agreements must cover scope, eligibility, budget, payments, outcomes, safeguarding, data, audit access, subcontracting, assets, complaints and safe termination. Reports are due by the tenth working day after month-end. Link transfers to forecasts and evidence; document urgent protection exceptions.</w:t>
      </w:r>
    </w:p>
    <w:p>
      <w:r>
        <w:t>The Tanzania lead holds weekly delivery meetings and monthly case conferences. The treasurer reviews reconciliations monthly; the board reviews partner performance quarterly. Maintain alternate referral providers so one partner’s failure does not cut off all support.</w:t>
      </w:r>
    </w:p>
    <w:p>
      <w:pPr>
        <w:pStyle w:val="Heading1"/>
        <w:pageBreakBefore/>
      </w:pPr>
      <w:r>
        <w:t>6A  Smaller pilot and budget reduction</w:t>
      </w:r>
    </w:p>
    <w:p>
      <w:r>
        <w:t>The revised year-one cash target is US$75,000, down from US$162,000: a saving of US$87,000, or 53.7%. The operating budget is US$69,000 and the protected continuity reserve is US$6,000. Agriculture remains part of the program.</w:t>
      </w:r>
    </w:p>
    <w:tbl>
      <w:tblPr>
        <w:tblW w:type="auto" w:w="0"/>
        <w:jc w:val="center"/>
        <w:tblLayout w:type="fixed"/>
        <w:tblLook w:firstColumn="1" w:firstRow="1" w:lastColumn="0" w:lastRow="0" w:noHBand="0" w:noVBand="1" w:val="04A0"/>
      </w:tblPr>
      <w:tblGrid>
        <w:gridCol w:w="2880"/>
        <w:gridCol w:w="2808"/>
        <w:gridCol w:w="4248"/>
      </w:tblGrid>
      <w:tr>
        <w:trPr>
          <w:cantSplit/>
          <w:tblHeader/>
        </w:trPr>
        <w:tc>
          <w:tcPr>
            <w:tcW w:type="dxa" w:w="2880"/>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Commitment</w:t>
            </w:r>
          </w:p>
        </w:tc>
        <w:tc>
          <w:tcPr>
            <w:tcW w:type="dxa" w:w="2808"/>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Previous proposal</w:t>
            </w:r>
          </w:p>
        </w:tc>
        <w:tc>
          <w:tcPr>
            <w:tcW w:type="dxa" w:w="4248"/>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Reduced proposal</w:t>
            </w:r>
          </w:p>
        </w:tc>
      </w:tr>
      <w:tr>
        <w:trPr>
          <w:cantSplit/>
        </w:trPr>
        <w:tc>
          <w:tcPr>
            <w:tcW w:type="dxa" w:w="288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Unique participants</w:t>
            </w:r>
          </w:p>
        </w:tc>
        <w:tc>
          <w:tcPr>
            <w:tcW w:type="dxa" w:w="280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30 adults</w:t>
            </w:r>
          </w:p>
        </w:tc>
        <w:tc>
          <w:tcPr>
            <w:tcW w:type="dxa" w:w="42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15 people</w:t>
            </w:r>
          </w:p>
        </w:tc>
      </w:tr>
      <w:tr>
        <w:trPr>
          <w:cantSplit/>
        </w:trPr>
        <w:tc>
          <w:tcPr>
            <w:tcW w:type="dxa" w:w="288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Housing assistance</w:t>
            </w:r>
          </w:p>
        </w:tc>
        <w:tc>
          <w:tcPr>
            <w:tcW w:type="dxa" w:w="280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20 people</w:t>
            </w:r>
          </w:p>
        </w:tc>
        <w:tc>
          <w:tcPr>
            <w:tcW w:type="dxa" w:w="42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10 people</w:t>
            </w:r>
          </w:p>
        </w:tc>
      </w:tr>
      <w:tr>
        <w:trPr>
          <w:cantSplit/>
        </w:trPr>
        <w:tc>
          <w:tcPr>
            <w:tcW w:type="dxa" w:w="288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Food and healthcare</w:t>
            </w:r>
          </w:p>
        </w:tc>
        <w:tc>
          <w:tcPr>
            <w:tcW w:type="dxa" w:w="280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30 people</w:t>
            </w:r>
          </w:p>
        </w:tc>
        <w:tc>
          <w:tcPr>
            <w:tcW w:type="dxa" w:w="42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15 people; same planning allowance per person</w:t>
            </w:r>
          </w:p>
        </w:tc>
      </w:tr>
      <w:tr>
        <w:trPr>
          <w:cantSplit/>
        </w:trPr>
        <w:tc>
          <w:tcPr>
            <w:tcW w:type="dxa" w:w="288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Farm participation</w:t>
            </w:r>
          </w:p>
        </w:tc>
        <w:tc>
          <w:tcPr>
            <w:tcW w:type="dxa" w:w="280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12 people</w:t>
            </w:r>
          </w:p>
        </w:tc>
        <w:tc>
          <w:tcPr>
            <w:tcW w:type="dxa" w:w="42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6 people within the cohort</w:t>
            </w:r>
          </w:p>
        </w:tc>
      </w:tr>
      <w:tr>
        <w:trPr>
          <w:cantSplit/>
        </w:trPr>
        <w:tc>
          <w:tcPr>
            <w:tcW w:type="dxa" w:w="288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Community farm</w:t>
            </w:r>
          </w:p>
        </w:tc>
        <w:tc>
          <w:tcPr>
            <w:tcW w:type="dxa" w:w="280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500 to 1,000 square metres</w:t>
            </w:r>
          </w:p>
        </w:tc>
        <w:tc>
          <w:tcPr>
            <w:tcW w:type="dxa" w:w="42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200 to 400 square metres on a partner site</w:t>
            </w:r>
          </w:p>
        </w:tc>
      </w:tr>
      <w:tr>
        <w:trPr>
          <w:cantSplit/>
        </w:trPr>
        <w:tc>
          <w:tcPr>
            <w:tcW w:type="dxa" w:w="288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Agriculture budget</w:t>
            </w:r>
          </w:p>
        </w:tc>
        <w:tc>
          <w:tcPr>
            <w:tcW w:type="dxa" w:w="280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$24,000</w:t>
            </w:r>
          </w:p>
        </w:tc>
        <w:tc>
          <w:tcPr>
            <w:tcW w:type="dxa" w:w="42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$9,000</w:t>
            </w:r>
          </w:p>
        </w:tc>
      </w:tr>
      <w:tr>
        <w:trPr>
          <w:cantSplit/>
        </w:trPr>
        <w:tc>
          <w:tcPr>
            <w:tcW w:type="dxa" w:w="288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Core staffing</w:t>
            </w:r>
          </w:p>
        </w:tc>
        <w:tc>
          <w:tcPr>
            <w:tcW w:type="dxa" w:w="280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$34,800</w:t>
            </w:r>
          </w:p>
        </w:tc>
        <w:tc>
          <w:tcPr>
            <w:tcW w:type="dxa" w:w="42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$17,400 through shared time and one caseworker</w:t>
            </w:r>
          </w:p>
        </w:tc>
      </w:tr>
      <w:tr>
        <w:trPr>
          <w:cantSplit/>
        </w:trPr>
        <w:tc>
          <w:tcPr>
            <w:tcW w:type="dxa" w:w="288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Operating costs</w:t>
            </w:r>
          </w:p>
        </w:tc>
        <w:tc>
          <w:tcPr>
            <w:tcW w:type="dxa" w:w="280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$147,000</w:t>
            </w:r>
          </w:p>
        </w:tc>
        <w:tc>
          <w:tcPr>
            <w:tcW w:type="dxa" w:w="42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$69,000</w:t>
            </w:r>
          </w:p>
        </w:tc>
      </w:tr>
      <w:tr>
        <w:trPr>
          <w:cantSplit/>
        </w:trPr>
        <w:tc>
          <w:tcPr>
            <w:tcW w:type="dxa" w:w="288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Continuity reserve</w:t>
            </w:r>
          </w:p>
        </w:tc>
        <w:tc>
          <w:tcPr>
            <w:tcW w:type="dxa" w:w="280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$15,000</w:t>
            </w:r>
          </w:p>
        </w:tc>
        <w:tc>
          <w:tcPr>
            <w:tcW w:type="dxa" w:w="42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$6,000</w:t>
            </w:r>
          </w:p>
        </w:tc>
      </w:tr>
      <w:tr>
        <w:trPr>
          <w:cantSplit/>
        </w:trPr>
        <w:tc>
          <w:tcPr>
            <w:tcW w:type="dxa" w:w="288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Total cash target</w:t>
            </w:r>
          </w:p>
        </w:tc>
        <w:tc>
          <w:tcPr>
            <w:tcW w:type="dxa" w:w="280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$162,000</w:t>
            </w:r>
          </w:p>
        </w:tc>
        <w:tc>
          <w:tcPr>
            <w:tcW w:type="dxa" w:w="42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$75,000</w:t>
            </w:r>
          </w:p>
        </w:tc>
      </w:tr>
    </w:tbl>
    <w:p>
      <w:pPr>
        <w:pStyle w:val="Heading2"/>
      </w:pPr>
      <w:r>
        <w:t>What enables the reduction</w:t>
      </w:r>
    </w:p>
    <w:p>
      <w:r>
        <w:t>Use an established local partner’s office and farm facilities under priced agreements. Keep the founder and board voluntary. Retain one caseworker at the original planned rate and buy fewer program-lead and finance hours. Begin with eight participants and add seven only after a funding and capacity review. Use basic direct fundraising and a simple accessible website.</w:t>
      </w:r>
    </w:p>
    <w:p>
      <w:pPr>
        <w:pStyle w:val="Heading2"/>
      </w:pPr>
      <w:r>
        <w:t>What must remain funded</w:t>
      </w:r>
    </w:p>
    <w:p>
      <w:r>
        <w:t>Preserve consent, safeguarding, complaints, financial controls, clinical referrals, soil and water checks, safe work, accessibility and lawful wages. Keep the original per-person food, healthcare and housing assumptions. Provide fewer farm work hours and smaller cohorts rather than underpaying productive work. Essential care never depends on farm participation or harvest revenue.</w:t>
      </w:r>
    </w:p>
    <w:p>
      <w:pPr>
        <w:pStyle w:val="Heading2"/>
      </w:pPr>
      <w:r>
        <w:t>Conditions and limits</w:t>
      </w:r>
    </w:p>
    <w:p>
      <w:r>
        <w:t>These remain estimates, not supplier quotations. The farm assumes existing usable sanitation, water and access; major construction is outside scope. Confirm host facilities, staff hours and leave cover in writing. Fiscal-sponsor fees, if applicable, must fit a revised approved budget before fundraising; they are not assumed free. Do not use expected produce sales, unconfirmed donations or volunteers to cover essential contracted duties.</w:t>
      </w:r>
    </w:p>
    <w:p>
      <w:r>
        <w:t>The reserve equals about one month of average operating costs and supplements the separate opening cash requirements. Review it against actual housing and care obligations; reduce intake or raise additional funds if safe continuity needs more. This is a smaller planned launch, not authority to withdraw support from anyone already enrolled.</w:t>
      </w:r>
    </w:p>
    <w:p>
      <w:pPr>
        <w:pStyle w:val="Heading1"/>
        <w:pageBreakBefore/>
      </w:pPr>
      <w:r>
        <w:t>7  Year one budget and funding controls</w:t>
      </w:r>
    </w:p>
    <w:p>
      <w:r>
        <w:t>All amounts are planning estimates in U.S. dollars. Obtain local written quotations, salary advice and current exchange rates before contracting. Budget covers 15 unique participants; service categories overlap. It excludes construction, a vehicle, an in-house clinic and a founder salary.</w:t>
      </w:r>
    </w:p>
    <w:tbl>
      <w:tblPr>
        <w:tblW w:type="auto" w:w="0"/>
        <w:jc w:val="center"/>
        <w:tblLayout w:type="fixed"/>
        <w:tblLook w:firstColumn="1" w:firstRow="1" w:lastColumn="0" w:lastRow="0" w:noHBand="0" w:noVBand="1" w:val="04A0"/>
      </w:tblPr>
      <w:tblGrid>
        <w:gridCol w:w="3816"/>
        <w:gridCol w:w="4248"/>
        <w:gridCol w:w="1872"/>
      </w:tblGrid>
      <w:tr>
        <w:trPr>
          <w:cantSplit/>
          <w:tblHeader/>
        </w:trPr>
        <w:tc>
          <w:tcPr>
            <w:tcW w:type="dxa" w:w="3816"/>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Cost category</w:t>
            </w:r>
          </w:p>
        </w:tc>
        <w:tc>
          <w:tcPr>
            <w:tcW w:type="dxa" w:w="4248"/>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Basis</w:t>
            </w:r>
          </w:p>
        </w:tc>
        <w:tc>
          <w:tcPr>
            <w:tcW w:type="dxa" w:w="1872"/>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USD</w:t>
            </w:r>
          </w:p>
        </w:tc>
      </w:tr>
      <w:tr>
        <w:trPr>
          <w:cantSplit/>
        </w:trPr>
        <w:tc>
          <w:tcPr>
            <w:tcW w:type="dxa" w:w="381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Shared program lead</w:t>
            </w:r>
          </w:p>
        </w:tc>
        <w:tc>
          <w:tcPr>
            <w:tcW w:type="dxa" w:w="42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12 months × $500</w:t>
            </w:r>
          </w:p>
        </w:tc>
        <w:tc>
          <w:tcPr>
            <w:tcW w:type="dxa" w:w="18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6,000</w:t>
            </w:r>
          </w:p>
        </w:tc>
      </w:tr>
      <w:tr>
        <w:trPr>
          <w:cantSplit/>
        </w:trPr>
        <w:tc>
          <w:tcPr>
            <w:tcW w:type="dxa" w:w="381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One caseworker</w:t>
            </w:r>
          </w:p>
        </w:tc>
        <w:tc>
          <w:tcPr>
            <w:tcW w:type="dxa" w:w="42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12 months × $750</w:t>
            </w:r>
          </w:p>
        </w:tc>
        <w:tc>
          <w:tcPr>
            <w:tcW w:type="dxa" w:w="187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9,000</w:t>
            </w:r>
          </w:p>
        </w:tc>
      </w:tr>
      <w:tr>
        <w:trPr>
          <w:cantSplit/>
        </w:trPr>
        <w:tc>
          <w:tcPr>
            <w:tcW w:type="dxa" w:w="381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Shared finance and administration</w:t>
            </w:r>
          </w:p>
        </w:tc>
        <w:tc>
          <w:tcPr>
            <w:tcW w:type="dxa" w:w="42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12 months × $200</w:t>
            </w:r>
          </w:p>
        </w:tc>
        <w:tc>
          <w:tcPr>
            <w:tcW w:type="dxa" w:w="18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2,400</w:t>
            </w:r>
          </w:p>
        </w:tc>
      </w:tr>
      <w:tr>
        <w:trPr>
          <w:cantSplit/>
        </w:trPr>
        <w:tc>
          <w:tcPr>
            <w:tcW w:type="dxa" w:w="381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Housing and deposits</w:t>
            </w:r>
          </w:p>
        </w:tc>
        <w:tc>
          <w:tcPr>
            <w:tcW w:type="dxa" w:w="42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10 people × 4 months × $225</w:t>
            </w:r>
          </w:p>
        </w:tc>
        <w:tc>
          <w:tcPr>
            <w:tcW w:type="dxa" w:w="187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9,000</w:t>
            </w:r>
          </w:p>
        </w:tc>
      </w:tr>
      <w:tr>
        <w:trPr>
          <w:cantSplit/>
        </w:trPr>
        <w:tc>
          <w:tcPr>
            <w:tcW w:type="dxa" w:w="381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Food and hygiene</w:t>
            </w:r>
          </w:p>
        </w:tc>
        <w:tc>
          <w:tcPr>
            <w:tcW w:type="dxa" w:w="42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15 people × 4 months × $80</w:t>
            </w:r>
          </w:p>
        </w:tc>
        <w:tc>
          <w:tcPr>
            <w:tcW w:type="dxa" w:w="18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4,800</w:t>
            </w:r>
          </w:p>
        </w:tc>
      </w:tr>
      <w:tr>
        <w:trPr>
          <w:cantSplit/>
        </w:trPr>
        <w:tc>
          <w:tcPr>
            <w:tcW w:type="dxa" w:w="381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Healthcare and rehabilitation</w:t>
            </w:r>
          </w:p>
        </w:tc>
        <w:tc>
          <w:tcPr>
            <w:tcW w:type="dxa" w:w="42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15 people × $250 average</w:t>
            </w:r>
          </w:p>
        </w:tc>
        <w:tc>
          <w:tcPr>
            <w:tcW w:type="dxa" w:w="187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3,750</w:t>
            </w:r>
          </w:p>
        </w:tc>
      </w:tr>
      <w:tr>
        <w:trPr>
          <w:cantSplit/>
        </w:trPr>
        <w:tc>
          <w:tcPr>
            <w:tcW w:type="dxa" w:w="381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Assistive products and repairs</w:t>
            </w:r>
          </w:p>
        </w:tc>
        <w:tc>
          <w:tcPr>
            <w:tcW w:type="dxa" w:w="42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8 people × $300 average</w:t>
            </w:r>
          </w:p>
        </w:tc>
        <w:tc>
          <w:tcPr>
            <w:tcW w:type="dxa" w:w="18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2,400</w:t>
            </w:r>
          </w:p>
        </w:tc>
      </w:tr>
      <w:tr>
        <w:trPr>
          <w:cantSplit/>
        </w:trPr>
        <w:tc>
          <w:tcPr>
            <w:tcW w:type="dxa" w:w="381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Accessible transport</w:t>
            </w:r>
          </w:p>
        </w:tc>
        <w:tc>
          <w:tcPr>
            <w:tcW w:type="dxa" w:w="42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12 months × $250</w:t>
            </w:r>
          </w:p>
        </w:tc>
        <w:tc>
          <w:tcPr>
            <w:tcW w:type="dxa" w:w="187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3,000</w:t>
            </w:r>
          </w:p>
        </w:tc>
      </w:tr>
      <w:tr>
        <w:trPr>
          <w:cantSplit/>
        </w:trPr>
        <w:tc>
          <w:tcPr>
            <w:tcW w:type="dxa" w:w="381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Supplementary skills training</w:t>
            </w:r>
          </w:p>
        </w:tc>
        <w:tc>
          <w:tcPr>
            <w:tcW w:type="dxa" w:w="42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3 people × $600; farm training separate</w:t>
            </w:r>
          </w:p>
        </w:tc>
        <w:tc>
          <w:tcPr>
            <w:tcW w:type="dxa" w:w="18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1,800</w:t>
            </w:r>
          </w:p>
        </w:tc>
      </w:tr>
      <w:tr>
        <w:trPr>
          <w:cantSplit/>
        </w:trPr>
        <w:tc>
          <w:tcPr>
            <w:tcW w:type="dxa" w:w="381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Enterprise grants or tools</w:t>
            </w:r>
          </w:p>
        </w:tc>
        <w:tc>
          <w:tcPr>
            <w:tcW w:type="dxa" w:w="42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4 people × $600</w:t>
            </w:r>
          </w:p>
        </w:tc>
        <w:tc>
          <w:tcPr>
            <w:tcW w:type="dxa" w:w="187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2,400</w:t>
            </w:r>
          </w:p>
        </w:tc>
      </w:tr>
      <w:tr>
        <w:trPr>
          <w:cantSplit/>
        </w:trPr>
        <w:tc>
          <w:tcPr>
            <w:tcW w:type="dxa" w:w="381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Access and participant advisers</w:t>
            </w:r>
          </w:p>
        </w:tc>
        <w:tc>
          <w:tcPr>
            <w:tcW w:type="dxa" w:w="42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Annual provision</w:t>
            </w:r>
          </w:p>
        </w:tc>
        <w:tc>
          <w:tcPr>
            <w:tcW w:type="dxa" w:w="18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1,200</w:t>
            </w:r>
          </w:p>
        </w:tc>
      </w:tr>
      <w:tr>
        <w:trPr>
          <w:cantSplit/>
        </w:trPr>
        <w:tc>
          <w:tcPr>
            <w:tcW w:type="dxa" w:w="381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Shared office and communications</w:t>
            </w:r>
          </w:p>
        </w:tc>
        <w:tc>
          <w:tcPr>
            <w:tcW w:type="dxa" w:w="42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12 months × $100</w:t>
            </w:r>
          </w:p>
        </w:tc>
        <w:tc>
          <w:tcPr>
            <w:tcW w:type="dxa" w:w="187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1,200</w:t>
            </w:r>
          </w:p>
        </w:tc>
      </w:tr>
      <w:tr>
        <w:trPr>
          <w:cantSplit/>
        </w:trPr>
        <w:tc>
          <w:tcPr>
            <w:tcW w:type="dxa" w:w="381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Legal and financial compliance</w:t>
            </w:r>
          </w:p>
        </w:tc>
        <w:tc>
          <w:tcPr>
            <w:tcW w:type="dxa" w:w="42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Annual provision retained</w:t>
            </w:r>
          </w:p>
        </w:tc>
        <w:tc>
          <w:tcPr>
            <w:tcW w:type="dxa" w:w="18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4,500</w:t>
            </w:r>
          </w:p>
        </w:tc>
      </w:tr>
      <w:tr>
        <w:trPr>
          <w:cantSplit/>
        </w:trPr>
        <w:tc>
          <w:tcPr>
            <w:tcW w:type="dxa" w:w="381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Insurance and safeguarding training</w:t>
            </w:r>
          </w:p>
        </w:tc>
        <w:tc>
          <w:tcPr>
            <w:tcW w:type="dxa" w:w="42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Annual provision</w:t>
            </w:r>
          </w:p>
        </w:tc>
        <w:tc>
          <w:tcPr>
            <w:tcW w:type="dxa" w:w="187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2,400</w:t>
            </w:r>
          </w:p>
        </w:tc>
      </w:tr>
      <w:tr>
        <w:trPr>
          <w:cantSplit/>
        </w:trPr>
        <w:tc>
          <w:tcPr>
            <w:tcW w:type="dxa" w:w="381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Monitoring and evaluation</w:t>
            </w:r>
          </w:p>
        </w:tc>
        <w:tc>
          <w:tcPr>
            <w:tcW w:type="dxa" w:w="42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Annual provision</w:t>
            </w:r>
          </w:p>
        </w:tc>
        <w:tc>
          <w:tcPr>
            <w:tcW w:type="dxa" w:w="18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1,200</w:t>
            </w:r>
          </w:p>
        </w:tc>
      </w:tr>
      <w:tr>
        <w:trPr>
          <w:cantSplit/>
        </w:trPr>
        <w:tc>
          <w:tcPr>
            <w:tcW w:type="dxa" w:w="381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Fundraising and website</w:t>
            </w:r>
          </w:p>
        </w:tc>
        <w:tc>
          <w:tcPr>
            <w:tcW w:type="dxa" w:w="42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Basic website and direct outreach</w:t>
            </w:r>
          </w:p>
        </w:tc>
        <w:tc>
          <w:tcPr>
            <w:tcW w:type="dxa" w:w="187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900</w:t>
            </w:r>
          </w:p>
        </w:tc>
      </w:tr>
      <w:tr>
        <w:trPr>
          <w:cantSplit/>
        </w:trPr>
        <w:tc>
          <w:tcPr>
            <w:tcW w:type="dxa" w:w="381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Transfer and payment costs</w:t>
            </w:r>
          </w:p>
        </w:tc>
        <w:tc>
          <w:tcPr>
            <w:tcW w:type="dxa" w:w="42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Annual provision</w:t>
            </w:r>
          </w:p>
        </w:tc>
        <w:tc>
          <w:tcPr>
            <w:tcW w:type="dxa" w:w="18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800</w:t>
            </w:r>
          </w:p>
        </w:tc>
      </w:tr>
      <w:tr>
        <w:trPr>
          <w:cantSplit/>
        </w:trPr>
        <w:tc>
          <w:tcPr>
            <w:tcW w:type="dxa" w:w="381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Community farm pilot</w:t>
            </w:r>
          </w:p>
        </w:tc>
        <w:tc>
          <w:tcPr>
            <w:tcW w:type="dxa" w:w="42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See agriculture budget</w:t>
            </w:r>
          </w:p>
        </w:tc>
        <w:tc>
          <w:tcPr>
            <w:tcW w:type="dxa" w:w="187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9,000</w:t>
            </w:r>
          </w:p>
        </w:tc>
      </w:tr>
      <w:tr>
        <w:trPr>
          <w:cantSplit/>
        </w:trPr>
        <w:tc>
          <w:tcPr>
            <w:tcW w:type="dxa" w:w="381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Base costs</w:t>
            </w:r>
          </w:p>
        </w:tc>
        <w:tc>
          <w:tcPr>
            <w:tcW w:type="dxa" w:w="42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r>
          </w:p>
        </w:tc>
        <w:tc>
          <w:tcPr>
            <w:tcW w:type="dxa" w:w="18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65,750</w:t>
            </w:r>
          </w:p>
        </w:tc>
      </w:tr>
      <w:tr>
        <w:trPr>
          <w:cantSplit/>
        </w:trPr>
        <w:tc>
          <w:tcPr>
            <w:tcW w:type="dxa" w:w="381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Operating contingency</w:t>
            </w:r>
          </w:p>
        </w:tc>
        <w:tc>
          <w:tcPr>
            <w:tcW w:type="dxa" w:w="42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Board-controlled</w:t>
            </w:r>
          </w:p>
        </w:tc>
        <w:tc>
          <w:tcPr>
            <w:tcW w:type="dxa" w:w="187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3,250</w:t>
            </w:r>
          </w:p>
        </w:tc>
      </w:tr>
      <w:tr>
        <w:trPr>
          <w:cantSplit/>
        </w:trPr>
        <w:tc>
          <w:tcPr>
            <w:tcW w:type="dxa" w:w="381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Operating total</w:t>
            </w:r>
          </w:p>
        </w:tc>
        <w:tc>
          <w:tcPr>
            <w:tcW w:type="dxa" w:w="42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r>
          </w:p>
        </w:tc>
        <w:tc>
          <w:tcPr>
            <w:tcW w:type="dxa" w:w="18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69,000</w:t>
            </w:r>
          </w:p>
        </w:tc>
      </w:tr>
      <w:tr>
        <w:trPr>
          <w:cantSplit/>
        </w:trPr>
        <w:tc>
          <w:tcPr>
            <w:tcW w:type="dxa" w:w="381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Continuity reserve</w:t>
            </w:r>
          </w:p>
        </w:tc>
        <w:tc>
          <w:tcPr>
            <w:tcW w:type="dxa" w:w="42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Separate from operating expenses</w:t>
            </w:r>
          </w:p>
        </w:tc>
        <w:tc>
          <w:tcPr>
            <w:tcW w:type="dxa" w:w="187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6,000</w:t>
            </w:r>
          </w:p>
        </w:tc>
      </w:tr>
      <w:tr>
        <w:trPr>
          <w:cantSplit/>
        </w:trPr>
        <w:tc>
          <w:tcPr>
            <w:tcW w:type="dxa" w:w="381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Year one cash target</w:t>
            </w:r>
          </w:p>
        </w:tc>
        <w:tc>
          <w:tcPr>
            <w:tcW w:type="dxa" w:w="42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r>
          </w:p>
        </w:tc>
        <w:tc>
          <w:tcPr>
            <w:tcW w:type="dxa" w:w="18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75,000</w:t>
            </w:r>
          </w:p>
        </w:tc>
      </w:tr>
    </w:tbl>
    <w:p>
      <w:r>
        <w:t>Operating cost averages US$4,600 per enrolled participant, including setup and overhead. This is not an individual service price. Track costs in TZS and USD. Shared facilities and limited staff hours require written partner quotes; revise intake before committing if costs exceed the ceiling.</w:t>
      </w:r>
    </w:p>
    <w:p>
      <w:pPr>
        <w:pStyle w:val="Heading1"/>
        <w:pageBreakBefore/>
      </w:pPr>
      <w:r>
        <w:t>8  Cash flow and financial safeguards</w:t>
      </w:r>
    </w:p>
    <w:tbl>
      <w:tblPr>
        <w:tblW w:type="auto" w:w="0"/>
        <w:jc w:val="center"/>
        <w:tblLayout w:type="fixed"/>
        <w:tblLook w:firstColumn="1" w:firstRow="1" w:lastColumn="0" w:lastRow="0" w:noHBand="0" w:noVBand="1" w:val="04A0"/>
      </w:tblPr>
      <w:tblGrid>
        <w:gridCol w:w="1872"/>
        <w:gridCol w:w="2376"/>
        <w:gridCol w:w="5688"/>
      </w:tblGrid>
      <w:tr>
        <w:trPr>
          <w:cantSplit/>
          <w:tblHeader/>
        </w:trPr>
        <w:tc>
          <w:tcPr>
            <w:tcW w:type="dxa" w:w="1872"/>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Period</w:t>
            </w:r>
          </w:p>
        </w:tc>
        <w:tc>
          <w:tcPr>
            <w:tcW w:type="dxa" w:w="2376"/>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Operating cash ceiling</w:t>
            </w:r>
          </w:p>
        </w:tc>
        <w:tc>
          <w:tcPr>
            <w:tcW w:type="dxa" w:w="5688"/>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Primary purpose</w:t>
            </w:r>
          </w:p>
        </w:tc>
      </w:tr>
      <w:tr>
        <w:trPr>
          <w:cantSplit/>
        </w:trPr>
        <w:tc>
          <w:tcPr>
            <w:tcW w:type="dxa" w:w="18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Months 1 to 3</w:t>
            </w:r>
          </w:p>
        </w:tc>
        <w:tc>
          <w:tcPr>
            <w:tcW w:type="dxa" w:w="237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$15,000</w:t>
            </w:r>
          </w:p>
        </w:tc>
        <w:tc>
          <w:tcPr>
            <w:tcW w:type="dxa" w:w="568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Formation, partner diligence, recruitment and readiness</w:t>
            </w:r>
          </w:p>
        </w:tc>
      </w:tr>
      <w:tr>
        <w:trPr>
          <w:cantSplit/>
        </w:trPr>
        <w:tc>
          <w:tcPr>
            <w:tcW w:type="dxa" w:w="187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Months 4 to 6</w:t>
            </w:r>
          </w:p>
        </w:tc>
        <w:tc>
          <w:tcPr>
            <w:tcW w:type="dxa" w:w="237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$27,000</w:t>
            </w:r>
          </w:p>
        </w:tc>
        <w:tc>
          <w:tcPr>
            <w:tcW w:type="dxa" w:w="568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Initial enrollment, housing, care and staff costs</w:t>
            </w:r>
          </w:p>
        </w:tc>
      </w:tr>
      <w:tr>
        <w:trPr>
          <w:cantSplit/>
        </w:trPr>
        <w:tc>
          <w:tcPr>
            <w:tcW w:type="dxa" w:w="18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Months 7 to 9</w:t>
            </w:r>
          </w:p>
        </w:tc>
        <w:tc>
          <w:tcPr>
            <w:tcW w:type="dxa" w:w="237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$18,000</w:t>
            </w:r>
          </w:p>
        </w:tc>
        <w:tc>
          <w:tcPr>
            <w:tcW w:type="dxa" w:w="568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Second cohort, training and livelihood support</w:t>
            </w:r>
          </w:p>
        </w:tc>
      </w:tr>
      <w:tr>
        <w:trPr>
          <w:cantSplit/>
        </w:trPr>
        <w:tc>
          <w:tcPr>
            <w:tcW w:type="dxa" w:w="187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Months 10 to 12</w:t>
            </w:r>
          </w:p>
        </w:tc>
        <w:tc>
          <w:tcPr>
            <w:tcW w:type="dxa" w:w="237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$9,000</w:t>
            </w:r>
          </w:p>
        </w:tc>
        <w:tc>
          <w:tcPr>
            <w:tcW w:type="dxa" w:w="568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Continuity, follow-up and evaluation</w:t>
            </w:r>
          </w:p>
        </w:tc>
      </w:tr>
      <w:tr>
        <w:trPr>
          <w:cantSplit/>
        </w:trPr>
        <w:tc>
          <w:tcPr>
            <w:tcW w:type="dxa" w:w="187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Reserve</w:t>
            </w:r>
          </w:p>
        </w:tc>
        <w:tc>
          <w:tcPr>
            <w:tcW w:type="dxa" w:w="237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$6,000</w:t>
            </w:r>
          </w:p>
        </w:tc>
        <w:tc>
          <w:tcPr>
            <w:tcW w:type="dxa" w:w="568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Protected continuity funding; not routine spending</w:t>
            </w:r>
          </w:p>
        </w:tc>
      </w:tr>
    </w:tbl>
    <w:p>
      <w:pPr>
        <w:pStyle w:val="Heading2"/>
      </w:pPr>
      <w:r>
        <w:t>Funding conditions for opening</w:t>
      </w:r>
    </w:p>
    <w:p>
      <w:r>
        <w:t>Raise US$15,000 for setup before material commitments. Before enrolling the first 8 participants, hold at least US$45,000 in available cash: US$39,000 for the approved six-month first-cohort plan and US$6,000 protected continuity reserve. If the forecast exceeds this amount, raise the difference before opening. Confirm that gift restrictions permit the proposed spending. Pledges alone do not meet this gate.</w:t>
      </w:r>
    </w:p>
    <w:p>
      <w:r>
        <w:t>Before the remaining 7 enroll, reforecast the full program and require cash plus dependable scheduled receipts to cover the next six months of commitments; cash on hand must cover the next three months plus the reserve. The board approves the forecast, service obligations and contingency arrangements. Opening dates move if these conditions are not met.</w:t>
      </w:r>
    </w:p>
    <w:p>
      <w:pPr>
        <w:pStyle w:val="Heading2"/>
      </w:pPr>
      <w:r>
        <w:t>How money is authorized</w:t>
      </w:r>
    </w:p>
    <w:p>
      <w:r>
        <w:t>All funds flow through verified organizational or sponsor accounts. Keep donor restrictions in a separate ledger. One person prepares payments and another authorizes them; a third reviewer, normally the treasurer, checks reconciliations. Use bank or traceable mobile payments where practical, with documented exceptions for accessibility.</w:t>
      </w:r>
    </w:p>
    <w:p>
      <w:r>
        <w:t>Proposed procurement thresholds: below US$250 equivalent, record a price check; US$250 to US$2,499, obtain three quotes or document why unavailable; US$2,500 and above, obtain competitive quotes and treasurer approval. The board approves commitments above US$5,000, related-party transactions and material unbudgeted costs. These are internal controls, subject to stricter funder or legal requirements.</w:t>
      </w:r>
    </w:p>
    <w:p>
      <w:r>
        <w:t>Every payment needs a purpose, budget code, approval and proof of delivery. Reconcile bank, mobile-money and cash balances monthly. Record serial numbers and custody of equipment. Review actual spending and forecast monthly; investigate variances above 10% of a budget line or US$1,000, whichever is lower.</w:t>
      </w:r>
    </w:p>
    <w:p>
      <w:pPr>
        <w:pStyle w:val="Heading2"/>
      </w:pPr>
      <w:r>
        <w:t>Shortfall response</w:t>
      </w:r>
    </w:p>
    <w:p>
      <w:r>
        <w:t>If unrestricted cash falls below three months of committed costs, freeze new enrollment and discretionary grants, intensify fundraising and renegotiate future commitments. Use the reserve only by board resolution for safe continuity or orderly transition. Notify participants early and arrange funded referrals. Do not remove existing housing or essential care abruptly to meet a financial target.</w:t>
      </w:r>
    </w:p>
    <w:p>
      <w:pPr>
        <w:pStyle w:val="Heading1"/>
        <w:pageBreakBefore/>
      </w:pPr>
      <w:r>
        <w:t>9  Fundraising and public presentation</w:t>
      </w:r>
    </w:p>
    <w:p>
      <w:r>
        <w:t>Raise US$75,000 in cash for year one. The mix below is a prospecting target, not committed revenue. In-kind gifts are additional and should not replace the cash target unless they demonstrably reduce an approved cost. Reforecast if fiscal-sponsor fees, platform fees or fundraising costs exceed their budget provisions.</w:t>
      </w:r>
    </w:p>
    <w:tbl>
      <w:tblPr>
        <w:tblW w:type="auto" w:w="0"/>
        <w:jc w:val="center"/>
        <w:tblLayout w:type="fixed"/>
        <w:tblLook w:firstColumn="1" w:firstRow="1" w:lastColumn="0" w:lastRow="0" w:noHBand="0" w:noVBand="1" w:val="04A0"/>
      </w:tblPr>
      <w:tblGrid>
        <w:gridCol w:w="3240"/>
        <w:gridCol w:w="4680"/>
        <w:gridCol w:w="2016"/>
      </w:tblGrid>
      <w:tr>
        <w:trPr>
          <w:cantSplit/>
          <w:tblHeader/>
        </w:trPr>
        <w:tc>
          <w:tcPr>
            <w:tcW w:type="dxa" w:w="3240"/>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Source</w:t>
            </w:r>
          </w:p>
        </w:tc>
        <w:tc>
          <w:tcPr>
            <w:tcW w:type="dxa" w:w="4680"/>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Planning calculation</w:t>
            </w:r>
          </w:p>
        </w:tc>
        <w:tc>
          <w:tcPr>
            <w:tcW w:type="dxa" w:w="2016"/>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Target</w:t>
            </w:r>
          </w:p>
        </w:tc>
      </w:tr>
      <w:tr>
        <w:trPr>
          <w:cantSplit/>
        </w:trPr>
        <w:tc>
          <w:tcPr>
            <w:tcW w:type="dxa" w:w="324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Founding individual donors</w:t>
            </w:r>
          </w:p>
        </w:tc>
        <w:tc>
          <w:tcPr>
            <w:tcW w:type="dxa" w:w="468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10 gifts × $1,500</w:t>
            </w:r>
          </w:p>
        </w:tc>
        <w:tc>
          <w:tcPr>
            <w:tcW w:type="dxa" w:w="201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$15,000</w:t>
            </w:r>
          </w:p>
        </w:tc>
      </w:tr>
      <w:tr>
        <w:trPr>
          <w:cantSplit/>
        </w:trPr>
        <w:tc>
          <w:tcPr>
            <w:tcW w:type="dxa" w:w="324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Monthly supporters</w:t>
            </w:r>
          </w:p>
        </w:tc>
        <w:tc>
          <w:tcPr>
            <w:tcW w:type="dxa" w:w="468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Average 40 active × $25 × 12 months</w:t>
            </w:r>
          </w:p>
        </w:tc>
        <w:tc>
          <w:tcPr>
            <w:tcW w:type="dxa" w:w="201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$12,000</w:t>
            </w:r>
          </w:p>
        </w:tc>
      </w:tr>
      <w:tr>
        <w:trPr>
          <w:cantSplit/>
        </w:trPr>
        <w:tc>
          <w:tcPr>
            <w:tcW w:type="dxa" w:w="324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Business and diaspora partners</w:t>
            </w:r>
          </w:p>
        </w:tc>
        <w:tc>
          <w:tcPr>
            <w:tcW w:type="dxa" w:w="468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3 gifts × $5,000</w:t>
            </w:r>
          </w:p>
        </w:tc>
        <w:tc>
          <w:tcPr>
            <w:tcW w:type="dxa" w:w="201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$15,000</w:t>
            </w:r>
          </w:p>
        </w:tc>
      </w:tr>
      <w:tr>
        <w:trPr>
          <w:cantSplit/>
        </w:trPr>
        <w:tc>
          <w:tcPr>
            <w:tcW w:type="dxa" w:w="324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Small grants</w:t>
            </w:r>
          </w:p>
        </w:tc>
        <w:tc>
          <w:tcPr>
            <w:tcW w:type="dxa" w:w="468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2 awards × $10,000</w:t>
            </w:r>
          </w:p>
        </w:tc>
        <w:tc>
          <w:tcPr>
            <w:tcW w:type="dxa" w:w="201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$20,000</w:t>
            </w:r>
          </w:p>
        </w:tc>
      </w:tr>
      <w:tr>
        <w:trPr>
          <w:cantSplit/>
        </w:trPr>
        <w:tc>
          <w:tcPr>
            <w:tcW w:type="dxa" w:w="324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Community campaigns</w:t>
            </w:r>
          </w:p>
        </w:tc>
        <w:tc>
          <w:tcPr>
            <w:tcW w:type="dxa" w:w="468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Aggregate cash gifts</w:t>
            </w:r>
          </w:p>
        </w:tc>
        <w:tc>
          <w:tcPr>
            <w:tcW w:type="dxa" w:w="201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$4,000</w:t>
            </w:r>
          </w:p>
        </w:tc>
      </w:tr>
      <w:tr>
        <w:trPr>
          <w:cantSplit/>
        </w:trPr>
        <w:tc>
          <w:tcPr>
            <w:tcW w:type="dxa" w:w="324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Agriculture launch partners</w:t>
            </w:r>
          </w:p>
        </w:tc>
        <w:tc>
          <w:tcPr>
            <w:tcW w:type="dxa" w:w="468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3 gifts × $3,000</w:t>
            </w:r>
          </w:p>
        </w:tc>
        <w:tc>
          <w:tcPr>
            <w:tcW w:type="dxa" w:w="2016"/>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$9,000</w:t>
            </w:r>
          </w:p>
        </w:tc>
      </w:tr>
      <w:tr>
        <w:trPr>
          <w:cantSplit/>
        </w:trPr>
        <w:tc>
          <w:tcPr>
            <w:tcW w:type="dxa" w:w="324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Total</w:t>
            </w:r>
          </w:p>
        </w:tc>
        <w:tc>
          <w:tcPr>
            <w:tcW w:type="dxa" w:w="468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r>
          </w:p>
        </w:tc>
        <w:tc>
          <w:tcPr>
            <w:tcW w:type="dxa" w:w="2016"/>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 xml:space="preserve"> $75,000</w:t>
            </w:r>
          </w:p>
        </w:tc>
      </w:tr>
    </w:tbl>
    <w:p>
      <w:r>
        <w:t>The recurring-gift target requires an average of 40 paying supporters each month. If recruitment starts at zero, approximately 80 active supporters are needed by year-end under an even ramp. Use actual receipt dates in cash forecasts; replace shortfalls before enrollment. Unawarded grants are prospects, not available money.</w:t>
      </w:r>
    </w:p>
    <w:p>
      <w:pPr>
        <w:pStyle w:val="Heading2"/>
      </w:pPr>
      <w:r>
        <w:t>A practical fundraising routine</w:t>
      </w:r>
    </w:p>
    <w:p>
      <w:r>
        <w:t>Founder owns the prospect list and weekly follow-up. In the first month identify 40 potential individual supporters, 10 business or diaspora contacts and 12 suitable grant opportunities. Prioritize warm introductions and early-stage eligibility. Track the amount requested, next action, decision date, restrictions and received cash. Obtain permission before sharing personal stories or contact information.</w:t>
      </w:r>
    </w:p>
    <w:p>
      <w:r>
        <w:t>Prepare a two-page concept note, approved budget, board biographies, verified registration or sponsor details, partner summary, safeguarding statement and pilot indicators. Acknowledge gifts promptly, provide quarterly updates and send an annual financial and impact summary. Offer donors pooled program support; avoid commitments to named individuals that undermine charitable discretion or privacy.</w:t>
      </w:r>
    </w:p>
    <w:p>
      <w:pPr>
        <w:pStyle w:val="Heading2"/>
      </w:pPr>
      <w:r>
        <w:t>Suggested donor message</w:t>
      </w:r>
    </w:p>
    <w:p>
      <w:r>
        <w:t>“Help launch Mboni Foundation’s first Tanzania pilot. Our goal is to support 15 people with disabilities who face homelessness, combining safe housing, essential care, accessible community farming and opportunities chosen by each participant. We are seeking US$75,000 for a carefully monitored first year, including funding to protect continuity of support.”</w:t>
      </w:r>
    </w:p>
    <w:p>
      <w:pPr>
        <w:pStyle w:val="Heading2"/>
      </w:pPr>
      <w:r>
        <w:t>Website and visual identity</w:t>
      </w:r>
    </w:p>
    <w:p>
      <w:r>
        <w:t>Use the woven M logo, forest green, warm white and muted gold. The theme is Seen. Valued. Supported. Prioritize readable type, strong contrast, keyboard access, alt text and captions. Single-page sections: Welcome; Our Story; Programs and Community Farm; Pilot and Finances; Get Involved; Contact; Privacy and Safeguarding. Show verified legal status, the receiving entity and whether the pilot is fundraising, enrolling or active. Publish targets separately from results.</w:t>
      </w:r>
    </w:p>
    <w:p>
      <w:pPr>
        <w:pStyle w:val="Heading1"/>
        <w:pageBreakBefore/>
      </w:pPr>
      <w:r>
        <w:t>10  Delivery schedule and performance measures</w:t>
      </w:r>
    </w:p>
    <w:tbl>
      <w:tblPr>
        <w:tblW w:type="auto" w:w="0"/>
        <w:jc w:val="center"/>
        <w:tblLayout w:type="fixed"/>
        <w:tblLook w:firstColumn="1" w:firstRow="1" w:lastColumn="0" w:lastRow="0" w:noHBand="0" w:noVBand="1" w:val="04A0"/>
      </w:tblPr>
      <w:tblGrid>
        <w:gridCol w:w="1800"/>
        <w:gridCol w:w="2232"/>
        <w:gridCol w:w="5904"/>
      </w:tblGrid>
      <w:tr>
        <w:trPr>
          <w:cantSplit/>
          <w:tblHeader/>
        </w:trPr>
        <w:tc>
          <w:tcPr>
            <w:tcW w:type="dxa" w:w="1800"/>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Period</w:t>
            </w:r>
          </w:p>
        </w:tc>
        <w:tc>
          <w:tcPr>
            <w:tcW w:type="dxa" w:w="2232"/>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Owner</w:t>
            </w:r>
          </w:p>
        </w:tc>
        <w:tc>
          <w:tcPr>
            <w:tcW w:type="dxa" w:w="5904"/>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Required milestone</w:t>
            </w:r>
          </w:p>
        </w:tc>
      </w:tr>
      <w:tr>
        <w:trPr>
          <w:cantSplit/>
        </w:trPr>
        <w:tc>
          <w:tcPr>
            <w:tcW w:type="dxa" w:w="180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Days 1 to 30</w:t>
            </w:r>
          </w:p>
        </w:tc>
        <w:tc>
          <w:tcPr>
            <w:tcW w:type="dxa" w:w="223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Founder and chair</w:t>
            </w:r>
          </w:p>
        </w:tc>
        <w:tc>
          <w:tcPr>
            <w:tcW w:type="dxa" w:w="590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Confirm state and legal route; recruit board; listen to local disability groups; start cost validation.</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Days 31 to 60</w:t>
            </w:r>
          </w:p>
        </w:tc>
        <w:tc>
          <w:tcPr>
            <w:tcW w:type="dxa" w:w="223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Counsel and Tanzania lead</w:t>
            </w:r>
          </w:p>
        </w:tc>
        <w:tc>
          <w:tcPr>
            <w:tcW w:type="dxa" w:w="590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Verify partners and permissions; assess housing and farm sites, water and buyers; adopt policies; secure setup cash.</w:t>
            </w:r>
          </w:p>
        </w:tc>
      </w:tr>
      <w:tr>
        <w:trPr>
          <w:cantSplit/>
        </w:trPr>
        <w:tc>
          <w:tcPr>
            <w:tcW w:type="dxa" w:w="180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Days 61 to 90</w:t>
            </w:r>
          </w:p>
        </w:tc>
        <w:tc>
          <w:tcPr>
            <w:tcW w:type="dxa" w:w="223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Treasurer and board</w:t>
            </w:r>
          </w:p>
        </w:tc>
        <w:tc>
          <w:tcPr>
            <w:tcW w:type="dxa" w:w="590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Hire team; test consent and complaints; approve funding gate and farm site agreement.</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Months 4 to 6</w:t>
            </w:r>
          </w:p>
        </w:tc>
        <w:tc>
          <w:tcPr>
            <w:tcW w:type="dxa" w:w="223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Tanzania lead</w:t>
            </w:r>
          </w:p>
        </w:tc>
        <w:tc>
          <w:tcPr>
            <w:tcW w:type="dxa" w:w="590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Enroll up to 8 people; complete plans; prepare farm and first staggered planting after site approval.</w:t>
            </w:r>
          </w:p>
        </w:tc>
      </w:tr>
      <w:tr>
        <w:trPr>
          <w:cantSplit/>
        </w:trPr>
        <w:tc>
          <w:tcPr>
            <w:tcW w:type="dxa" w:w="180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Months 7 to 9</w:t>
            </w:r>
          </w:p>
        </w:tc>
        <w:tc>
          <w:tcPr>
            <w:tcW w:type="dxa" w:w="223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Board and program lead</w:t>
            </w:r>
          </w:p>
        </w:tc>
        <w:tc>
          <w:tcPr>
            <w:tcW w:type="dxa" w:w="590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Approve second cohort after review; reach up to 15 people; involve up to 6 in farm training and supported work.</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Months 10 to 12</w:t>
            </w:r>
          </w:p>
        </w:tc>
        <w:tc>
          <w:tcPr>
            <w:tcW w:type="dxa" w:w="223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Evaluation lead and board</w:t>
            </w:r>
          </w:p>
        </w:tc>
        <w:tc>
          <w:tcPr>
            <w:tcW w:type="dxa" w:w="590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Complete follow-up; review farm harvests, food allocation, wages and sales; publish results and decide year two.</w:t>
            </w:r>
          </w:p>
        </w:tc>
      </w:tr>
    </w:tbl>
    <w:p>
      <w:r>
        <w:t>Month 1 begins when the board authorizes setup. Regulatory or funding delays extend the calendar. The program lead owns data quality; the board receives a monthly dashboard. Targets below are provisional and must be approved after baseline assessment.</w:t>
      </w:r>
    </w:p>
    <w:tbl>
      <w:tblPr>
        <w:tblW w:type="auto" w:w="0"/>
        <w:jc w:val="center"/>
        <w:tblLayout w:type="fixed"/>
        <w:tblLook w:firstColumn="1" w:firstRow="1" w:lastColumn="0" w:lastRow="0" w:noHBand="0" w:noVBand="1" w:val="04A0"/>
      </w:tblPr>
      <w:tblGrid>
        <w:gridCol w:w="2304"/>
        <w:gridCol w:w="7632"/>
      </w:tblGrid>
      <w:tr>
        <w:trPr>
          <w:cantSplit/>
          <w:tblHeader/>
        </w:trPr>
        <w:tc>
          <w:tcPr>
            <w:tcW w:type="dxa" w:w="2304"/>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Measure</w:t>
            </w:r>
          </w:p>
        </w:tc>
        <w:tc>
          <w:tcPr>
            <w:tcW w:type="dxa" w:w="7632"/>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Year one target and definition</w:t>
            </w:r>
          </w:p>
        </w:tc>
      </w:tr>
      <w:tr>
        <w:trPr>
          <w:cantSplit/>
        </w:trPr>
        <w:tc>
          <w:tcPr>
            <w:tcW w:type="dxa" w:w="230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Enrollment and planning</w:t>
            </w:r>
          </w:p>
        </w:tc>
        <w:tc>
          <w:tcPr>
            <w:tcW w:type="dxa" w:w="763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15 unique people; 100% have consent and a support plan within 14 days.</w:t>
            </w:r>
          </w:p>
        </w:tc>
      </w:tr>
      <w:tr>
        <w:trPr>
          <w:cantSplit/>
        </w:trPr>
        <w:tc>
          <w:tcPr>
            <w:tcW w:type="dxa" w:w="230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Housing stability</w:t>
            </w:r>
          </w:p>
        </w:tc>
        <w:tc>
          <w:tcPr>
            <w:tcW w:type="dxa" w:w="763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At least 11 of 15 have safe, agreed accommodation sustained for 90 days by the final review.</w:t>
            </w:r>
          </w:p>
        </w:tc>
      </w:tr>
      <w:tr>
        <w:trPr>
          <w:cantSplit/>
        </w:trPr>
        <w:tc>
          <w:tcPr>
            <w:tcW w:type="dxa" w:w="230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Priority referrals</w:t>
            </w:r>
          </w:p>
        </w:tc>
        <w:tc>
          <w:tcPr>
            <w:tcW w:type="dxa" w:w="763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At least 80% of agreed priority referrals due by year-end are completed; report numerator and denominator.</w:t>
            </w:r>
          </w:p>
        </w:tc>
      </w:tr>
      <w:tr>
        <w:trPr>
          <w:cantSplit/>
        </w:trPr>
        <w:tc>
          <w:tcPr>
            <w:tcW w:type="dxa" w:w="230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Livelihood participation</w:t>
            </w:r>
          </w:p>
        </w:tc>
        <w:tc>
          <w:tcPr>
            <w:tcW w:type="dxa" w:w="763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9 start training, including up to 6 in agriculture; 7 complete; 4 earn income for 3 consecutive months. Report grant-funded farm wages separately from external income.</w:t>
            </w:r>
          </w:p>
        </w:tc>
      </w:tr>
      <w:tr>
        <w:trPr>
          <w:cantSplit/>
        </w:trPr>
        <w:tc>
          <w:tcPr>
            <w:tcW w:type="dxa" w:w="230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Assistive support</w:t>
            </w:r>
          </w:p>
        </w:tc>
        <w:tc>
          <w:tcPr>
            <w:tcW w:type="dxa" w:w="763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Up to 8 receive assessed products or repairs; record fit, use and follow-up at 30 days.</w:t>
            </w:r>
          </w:p>
        </w:tc>
      </w:tr>
      <w:tr>
        <w:trPr>
          <w:cantSplit/>
        </w:trPr>
        <w:tc>
          <w:tcPr>
            <w:tcW w:type="dxa" w:w="2304"/>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Participant experience</w:t>
            </w:r>
          </w:p>
        </w:tc>
        <w:tc>
          <w:tcPr>
            <w:tcW w:type="dxa" w:w="7632"/>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At least 80% of respondents report respectful treatment and meaningful choice; publish response rate.</w:t>
            </w:r>
          </w:p>
        </w:tc>
      </w:tr>
      <w:tr>
        <w:trPr>
          <w:cantSplit/>
        </w:trPr>
        <w:tc>
          <w:tcPr>
            <w:tcW w:type="dxa" w:w="2304"/>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Protection and finance</w:t>
            </w:r>
          </w:p>
        </w:tc>
        <w:tc>
          <w:tcPr>
            <w:tcW w:type="dxa" w:w="7632"/>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100% of concerns triaged within internal targets; monthly reconciliations and board review completed.</w:t>
            </w:r>
          </w:p>
        </w:tc>
      </w:tr>
    </w:tbl>
    <w:p>
      <w:r>
        <w:t>Capture baseline housing and self-reported income at enrollment; follow up at months 3 and 6 and exit. Report loss to follow-up and people not yet eligible for a 90-day measure separately. Service counts may overlap and must not be added as unique beneficiaries. Before-and-after changes describe progress; they do not prove the program caused it.</w:t>
      </w:r>
    </w:p>
    <w:p>
      <w:pPr>
        <w:pStyle w:val="Heading1"/>
        <w:pageBreakBefore/>
      </w:pPr>
      <w:r>
        <w:t>11  Risks and the decision to expand</w:t>
      </w:r>
    </w:p>
    <w:tbl>
      <w:tblPr>
        <w:tblW w:type="auto" w:w="0"/>
        <w:jc w:val="center"/>
        <w:tblLayout w:type="fixed"/>
        <w:tblLook w:firstColumn="1" w:firstRow="1" w:lastColumn="0" w:lastRow="0" w:noHBand="0" w:noVBand="1" w:val="04A0"/>
      </w:tblPr>
      <w:tblGrid>
        <w:gridCol w:w="2160"/>
        <w:gridCol w:w="6048"/>
        <w:gridCol w:w="1728"/>
      </w:tblGrid>
      <w:tr>
        <w:trPr>
          <w:cantSplit/>
          <w:tblHeader/>
        </w:trPr>
        <w:tc>
          <w:tcPr>
            <w:tcW w:type="dxa" w:w="2160"/>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Risk</w:t>
            </w:r>
          </w:p>
        </w:tc>
        <w:tc>
          <w:tcPr>
            <w:tcW w:type="dxa" w:w="6048"/>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Early warning and response</w:t>
            </w:r>
          </w:p>
        </w:tc>
        <w:tc>
          <w:tcPr>
            <w:tcW w:type="dxa" w:w="1728"/>
            <w:vAlign w:val="center"/>
            <w:shd w:fill="285943"/>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b/>
                <w:color w:val="FFFFFF"/>
                <w:sz w:val="20"/>
              </w:rPr>
              <w:t>Owner</w:t>
            </w:r>
          </w:p>
        </w:tc>
      </w:tr>
      <w:tr>
        <w:trPr>
          <w:cantSplit/>
        </w:trPr>
        <w:tc>
          <w:tcPr>
            <w:tcW w:type="dxa" w:w="216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Funding falls short</w:t>
            </w:r>
          </w:p>
        </w:tc>
        <w:tc>
          <w:tcPr>
            <w:tcW w:type="dxa" w:w="60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Cash forecast drops below threshold: pause intake, protect existing cases and activate continuity plan.</w:t>
            </w:r>
          </w:p>
        </w:tc>
        <w:tc>
          <w:tcPr>
            <w:tcW w:type="dxa" w:w="172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Treasurer</w:t>
            </w:r>
          </w:p>
        </w:tc>
      </w:tr>
      <w:tr>
        <w:trPr>
          <w:cantSplit/>
        </w:trPr>
        <w:tc>
          <w:tcPr>
            <w:tcW w:type="dxa" w:w="216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Abuse or exploitation</w:t>
            </w:r>
          </w:p>
        </w:tc>
        <w:tc>
          <w:tcPr>
            <w:tcW w:type="dxa" w:w="60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Complaint or unsafe practice: protect participant, escalate, investigate independently and restrict implicated staff.</w:t>
            </w:r>
          </w:p>
        </w:tc>
        <w:tc>
          <w:tcPr>
            <w:tcW w:type="dxa" w:w="172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Safeguarding lead</w:t>
            </w:r>
          </w:p>
        </w:tc>
      </w:tr>
      <w:tr>
        <w:trPr>
          <w:cantSplit/>
        </w:trPr>
        <w:tc>
          <w:tcPr>
            <w:tcW w:type="dxa" w:w="216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Inaccessible or unsafe housing</w:t>
            </w:r>
          </w:p>
        </w:tc>
        <w:tc>
          <w:tcPr>
            <w:tcW w:type="dxa" w:w="60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Failed inspection or participant concern: suspend placement and arrange an alternative.</w:t>
            </w:r>
          </w:p>
        </w:tc>
        <w:tc>
          <w:tcPr>
            <w:tcW w:type="dxa" w:w="172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Program lead</w:t>
            </w:r>
          </w:p>
        </w:tc>
      </w:tr>
      <w:tr>
        <w:trPr>
          <w:cantSplit/>
        </w:trPr>
        <w:tc>
          <w:tcPr>
            <w:tcW w:type="dxa" w:w="216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Partner misuse of funds</w:t>
            </w:r>
          </w:p>
        </w:tc>
        <w:tc>
          <w:tcPr>
            <w:tcW w:type="dxa" w:w="60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Unreconciled balances or missing evidence: stop discretionary transfers, verify and protect services separately.</w:t>
            </w:r>
          </w:p>
        </w:tc>
        <w:tc>
          <w:tcPr>
            <w:tcW w:type="dxa" w:w="172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Treasurer</w:t>
            </w:r>
          </w:p>
        </w:tc>
      </w:tr>
      <w:tr>
        <w:trPr>
          <w:cantSplit/>
        </w:trPr>
        <w:tc>
          <w:tcPr>
            <w:tcW w:type="dxa" w:w="216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Higher care costs</w:t>
            </w:r>
          </w:p>
        </w:tc>
        <w:tc>
          <w:tcPr>
            <w:tcW w:type="dxa" w:w="60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Unmet needs or missed appointments: clinical referral, case-budget review and additional funding request.</w:t>
            </w:r>
          </w:p>
        </w:tc>
        <w:tc>
          <w:tcPr>
            <w:tcW w:type="dxa" w:w="172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Program lead</w:t>
            </w:r>
          </w:p>
        </w:tc>
      </w:tr>
      <w:tr>
        <w:trPr>
          <w:cantSplit/>
        </w:trPr>
        <w:tc>
          <w:tcPr>
            <w:tcW w:type="dxa" w:w="216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Training has no income pathway</w:t>
            </w:r>
          </w:p>
        </w:tc>
        <w:tc>
          <w:tcPr>
            <w:tcW w:type="dxa" w:w="60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Low completion or no viable buyers: redesign with participants and local market evidence.</w:t>
            </w:r>
          </w:p>
        </w:tc>
        <w:tc>
          <w:tcPr>
            <w:tcW w:type="dxa" w:w="172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Livelihood partner</w:t>
            </w:r>
          </w:p>
        </w:tc>
      </w:tr>
      <w:tr>
        <w:trPr>
          <w:cantSplit/>
        </w:trPr>
        <w:tc>
          <w:tcPr>
            <w:tcW w:type="dxa" w:w="2160"/>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Privacy breach</w:t>
            </w:r>
          </w:p>
        </w:tc>
        <w:tc>
          <w:tcPr>
            <w:tcW w:type="dxa" w:w="604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Lost device or unauthorized access: contain access, document impact and follow required notification steps.</w:t>
            </w:r>
          </w:p>
        </w:tc>
        <w:tc>
          <w:tcPr>
            <w:tcW w:type="dxa" w:w="1728"/>
            <w:vAlign w:val="center"/>
            <w:shd w:fill="F1F5F7"/>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Data lead</w:t>
            </w:r>
          </w:p>
        </w:tc>
      </w:tr>
      <w:tr>
        <w:trPr>
          <w:cantSplit/>
        </w:trPr>
        <w:tc>
          <w:tcPr>
            <w:tcW w:type="dxa" w:w="2160"/>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Staff overload</w:t>
            </w:r>
          </w:p>
        </w:tc>
        <w:tc>
          <w:tcPr>
            <w:tcW w:type="dxa" w:w="604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Caseload, absence or incident trend: lower intake and arrange qualified cover.</w:t>
            </w:r>
          </w:p>
        </w:tc>
        <w:tc>
          <w:tcPr>
            <w:tcW w:type="dxa" w:w="1728"/>
            <w:vAlign w:val="center"/>
            <w:shd w:fill="FFFFFF"/>
            <w:tcBorders>
              <w:top w:val="single" w:sz="4" w:color="D9D9D9"/>
              <w:left w:val="single" w:sz="4" w:color="D9D9D9"/>
              <w:bottom w:val="single" w:sz="4" w:color="D9D9D9"/>
              <w:right w:val="single" w:sz="4" w:color="D9D9D9"/>
            </w:tcBorders>
            <w:tcMar>
              <w:top w:w="55" w:type="dxa"/>
              <w:left w:w="55" w:type="dxa"/>
              <w:bottom w:w="55" w:type="dxa"/>
              <w:right w:w="55" w:type="dxa"/>
            </w:tcMar>
          </w:tcPr>
          <w:p>
            <w:pPr>
              <w:spacing w:after="40" w:before="40"/>
            </w:pPr>
            <w:r>
              <w:rPr>
                <w:sz w:val="20"/>
              </w:rPr>
              <w:t>Executive lead</w:t>
            </w:r>
          </w:p>
        </w:tc>
      </w:tr>
    </w:tbl>
    <w:p>
      <w:pPr>
        <w:pStyle w:val="Heading2"/>
      </w:pPr>
      <w:r>
        <w:t>Year two decision</w:t>
      </w:r>
    </w:p>
    <w:p>
      <w:r>
        <w:t>At month 12, the board should approve continuation, redesign or orderly closure. Expansion requires evidence of safe delivery, credible participant feedback, reliable accounts, lawful operations, housing outcomes and funding for at least six months of the expanded service. A serious unresolved safeguarding or financial-control failure blocks expansion until remedied.</w:t>
      </w:r>
    </w:p>
    <w:p>
      <w:r>
        <w:t>Farm expansion additionally requires secure tenure, safe water, participant approval, funded maintenance and evidence from at least two crop cycles. Produce sales will not fund core services in the year-one forecast. Indicative year two: support 20 to 30 people in the same city only if staffing and funds grow with demand. Indicative year three: assess one additional Tanzanian location after an independent review. Expansion to another African country requires its own needs assessment, local leadership, legal review and budget. These are options, not commitments.</w:t>
      </w:r>
    </w:p>
    <w:p>
      <w:pPr>
        <w:pStyle w:val="Heading2"/>
      </w:pPr>
      <w:r>
        <w:t>First board resolution</w:t>
      </w:r>
    </w:p>
    <w:p>
      <w:r>
        <w:t>Approve the mission and Tanzania focus; authorize the 15-person pilot subject to launch conditions; adopt the US$69,000 operating ceiling and US$6,000 reserve target; appoint accountable officers; authorize partner diligence and local cost validation; and require a written readiness review before enrollment. Counsel should convert this decision into the organization’s formal resolution.</w:t>
      </w:r>
    </w:p>
    <w:p>
      <w:r>
        <w:t>Confirm before adoption: U.S. state and existing legal status; availability of Mboni Foundation name; founder role and available time; cash already available; selected Tanzania partner and catchment; housing, staffing and farm quotes; land and water approvals; and named safeguarding, agriculture and data leads. These decisions turn the proposed plan into an approved operating plan.</w:t>
      </w:r>
    </w:p>
    <w:p>
      <w:pPr>
        <w:pStyle w:val="Heading1"/>
        <w:pageBreakBefore/>
      </w:pPr>
      <w:r>
        <w:t>12  Operating templates and official references</w:t>
      </w:r>
    </w:p>
    <w:p>
      <w:pPr>
        <w:pStyle w:val="Heading2"/>
      </w:pPr>
      <w:r>
        <w:t>Minimum records for the delivery team</w:t>
      </w:r>
    </w:p>
    <w:p>
      <w:r>
        <w:t>Participant plan: unique ID; accessible consent record; communication preference; baseline housing; urgent risks; participant goals; agreed services; provider; authorized cost; responsible staff; review date; transition arrangement. Store sensitive details only where necessary and legally permitted.</w:t>
      </w:r>
    </w:p>
    <w:p>
      <w:r>
        <w:t>Partner review: legal name and registration; verified bank account; authorized signatories; references; visit findings; accessibility; safeguarding; sanctions review; financial controls; approval conditions; reviewer; review date.</w:t>
      </w:r>
    </w:p>
    <w:p>
      <w:r>
        <w:t>Monthly dashboard: unique people enrolled and active; housing at 30 and 90 days; referrals due and completed; training and income milestones; participant feedback; concerns and response times; expenditure against budget; farm harvest weights, household distribution, sales, direct costs and paid hours; restricted balances; available cash; six-month forecast; decisions needed.</w:t>
      </w:r>
    </w:p>
    <w:p>
      <w:r>
        <w:t>Incident record: date and safe contact method; immediate danger; protective action; person notified and time; mandatory reporting advice; confidentiality restrictions; follow-up owner; review and closure. Keep outside the general donor or fundraising database.</w:t>
      </w:r>
    </w:p>
    <w:p>
      <w:pPr>
        <w:pStyle w:val="Heading2"/>
      </w:pPr>
      <w:r>
        <w:t>Official references for implementation</w:t>
      </w:r>
    </w:p>
    <w:p>
      <w:r>
        <w:t>Reference list retained from the 30 September 2026 plan. The following support the legal and regulatory checkpoints in this plan. Qualified advisers should confirm requirements for the final entity, state, activities and operating location before launch.</w:t>
      </w:r>
    </w:p>
    <w:p>
      <w:pPr>
        <w:spacing w:after="140"/>
      </w:pPr>
      <w:hyperlink r:id="rId10">
        <w:r>
          <w:rPr>
            <w:color w:val="17617E"/>
          </w:rPr>
          <w:t>[8] FAO — Safe irrigation and urban horticulture</w:t>
        </w:r>
      </w:hyperlink>
    </w:p>
    <w:p>
      <w:pPr>
        <w:spacing w:after="140"/>
      </w:pPr>
      <w:hyperlink r:id="rId11">
        <w:r>
          <w:rPr>
            <w:color w:val="17617E"/>
          </w:rPr>
          <w:t>[1] IRS — Applying for tax exempt status</w:t>
        </w:r>
      </w:hyperlink>
    </w:p>
    <w:p>
      <w:pPr>
        <w:spacing w:after="140"/>
      </w:pPr>
      <w:hyperlink r:id="rId12">
        <w:r>
          <w:rPr>
            <w:color w:val="17617E"/>
          </w:rPr>
          <w:t>[2] IRS — Instructions for Form 990</w:t>
        </w:r>
      </w:hyperlink>
    </w:p>
    <w:p>
      <w:pPr>
        <w:spacing w:after="140"/>
      </w:pPr>
      <w:hyperlink r:id="rId13">
        <w:r>
          <w:rPr>
            <w:color w:val="17617E"/>
          </w:rPr>
          <w:t>[3] IRS — Charitable solicitation state requirements</w:t>
        </w:r>
      </w:hyperlink>
    </w:p>
    <w:p>
      <w:pPr>
        <w:spacing w:after="140"/>
      </w:pPr>
      <w:hyperlink r:id="rId14">
        <w:r>
          <w:rPr>
            <w:color w:val="17617E"/>
          </w:rPr>
          <w:t>[4] Tanzania Ministry — NGO registration</w:t>
        </w:r>
      </w:hyperlink>
    </w:p>
    <w:p>
      <w:pPr>
        <w:spacing w:after="140"/>
      </w:pPr>
      <w:hyperlink r:id="rId15">
        <w:r>
          <w:rPr>
            <w:color w:val="17617E"/>
          </w:rPr>
          <w:t>[5] IRS — International activities application questions</w:t>
        </w:r>
      </w:hyperlink>
    </w:p>
    <w:p>
      <w:pPr>
        <w:spacing w:after="140"/>
      </w:pPr>
      <w:hyperlink r:id="rId16">
        <w:r>
          <w:rPr>
            <w:color w:val="17617E"/>
          </w:rPr>
          <w:t>[6] U.S. Treasury OFAC — Risk matrix for the charitable sector</w:t>
        </w:r>
      </w:hyperlink>
    </w:p>
    <w:p>
      <w:pPr>
        <w:spacing w:after="140"/>
      </w:pPr>
      <w:hyperlink r:id="rId17">
        <w:r>
          <w:rPr>
            <w:color w:val="17617E"/>
          </w:rPr>
          <w:t>[7] Tanzania PDPC — Registration and cross-border transfer guidance</w:t>
        </w:r>
      </w:hyperlink>
    </w:p>
    <w:p>
      <w:pPr>
        <w:spacing w:after="140"/>
      </w:pPr>
      <w:hyperlink r:id="rId18">
        <w:r>
          <w:rPr>
            <w:color w:val="17617E"/>
          </w:rPr>
          <w:t>PDPC — Further registration and transfer questions</w:t>
        </w:r>
      </w:hyperlink>
    </w:p>
    <w:sectPr w:rsidR="00FC693F" w:rsidRPr="0006063C" w:rsidSect="00034616">
      <w:footerReference w:type="default" r:id="rId9"/>
      <w:pgSz w:w="12240" w:h="15840"/>
      <w:pgMar w:top="864"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MBONI FOUNDATION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80"/>
      <w:outlineLvl w:val="0"/>
    </w:pPr>
    <w:rPr>
      <w:rFonts w:asciiTheme="majorHAnsi" w:eastAsiaTheme="majorEastAsia" w:hAnsiTheme="majorHAnsi" w:cstheme="majorBidi" w:ascii="Calibri" w:hAnsi="Calibri"/>
      <w:b/>
      <w:bCs/>
      <w:color w:val="285943"/>
      <w:sz w:val="42"/>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Calibri" w:hAnsi="Calibri"/>
      <w:b/>
      <w:bCs/>
      <w:color w:val="2859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before="200"/>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40" w:lineRule="auto"/>
    </w:pPr>
    <w:rPr>
      <w:rFonts w:ascii="Calibri" w:hAnsi="Calibri"/>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40" w:lineRule="auto"/>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40" w:lineRule="auto"/>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fao.org/platforms/water-scarcity/Knowledge/knowledge-products/detail/on-farm-practices-for-the-safe-use-of-wastewater-in-urban-and-peri-urban-horticulture/en" TargetMode="External"/><Relationship Id="rId11" Type="http://schemas.openxmlformats.org/officeDocument/2006/relationships/hyperlink" Target="https://www.irs.gov/charities-non-profits/applying-for-tax-exempt-status" TargetMode="External"/><Relationship Id="rId12" Type="http://schemas.openxmlformats.org/officeDocument/2006/relationships/hyperlink" Target="https://www.irs.gov/instructions/i990" TargetMode="External"/><Relationship Id="rId13" Type="http://schemas.openxmlformats.org/officeDocument/2006/relationships/hyperlink" Target="https://www.irs.gov/charities-non-profits/charitable-organizations/charitable-solicitation-state-requirements" TargetMode="External"/><Relationship Id="rId14" Type="http://schemas.openxmlformats.org/officeDocument/2006/relationships/hyperlink" Target="https://jamii.go.tz/services/ngos-registration" TargetMode="External"/><Relationship Id="rId15" Type="http://schemas.openxmlformats.org/officeDocument/2006/relationships/hyperlink" Target="https://www.irs.gov/charities-non-profits/charitable-organizations/exempt-organization-sample-questions-international-activities" TargetMode="External"/><Relationship Id="rId16" Type="http://schemas.openxmlformats.org/officeDocument/2006/relationships/hyperlink" Target="https://ofac.treasury.gov/system/files/126/charity_risk_matrix.pdf" TargetMode="External"/><Relationship Id="rId17" Type="http://schemas.openxmlformats.org/officeDocument/2006/relationships/hyperlink" Target="https://pdpc.go.tz/services/registration/" TargetMode="External"/><Relationship Id="rId18" Type="http://schemas.openxmlformats.org/officeDocument/2006/relationships/hyperlink" Target="https://pdpc.go.tz/feedback-faqs/?faq_pag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Mboni Foundation Launch and Implementation Plan</dc:title>
  <dc:subject>Tanzania pilot and U.S. nonprofit launch</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